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jc w:val="center"/>
        <w:rPr>
          <w:rFonts w:ascii="Arial" w:cs="Arial" w:eastAsia="Arial" w:hAnsi="Arial"/>
        </w:rPr>
      </w:pPr>
      <w:r w:rsidDel="00000000" w:rsidR="00000000" w:rsidRPr="00000000">
        <w:rPr>
          <w:rFonts w:ascii="Arial" w:cs="Arial" w:eastAsia="Arial" w:hAnsi="Arial"/>
          <w:rtl w:val="0"/>
        </w:rPr>
        <w:t xml:space="preserve">Proyecto de Biodigestión Anaerobia bajo puentes para el Aprovechamiento de Residuos Orgánicos en Bogotá</w:t>
      </w:r>
    </w:p>
    <w:p w:rsidR="00000000" w:rsidDel="00000000" w:rsidP="00000000" w:rsidRDefault="00000000" w:rsidRPr="00000000" w14:paraId="00000002">
      <w:pPr>
        <w:rPr>
          <w:rFonts w:ascii="Arial" w:cs="Arial" w:eastAsia="Arial" w:hAnsi="Arial"/>
        </w:rPr>
      </w:pPr>
      <w:r w:rsidDel="00000000" w:rsidR="00000000" w:rsidRPr="00000000">
        <w:rPr>
          <w:rtl w:val="0"/>
        </w:rPr>
      </w:r>
    </w:p>
    <w:p w:rsidR="00000000" w:rsidDel="00000000" w:rsidP="00000000" w:rsidRDefault="00000000" w:rsidRPr="00000000" w14:paraId="00000003">
      <w:pPr>
        <w:rPr>
          <w:rFonts w:ascii="Arial" w:cs="Arial" w:eastAsia="Arial" w:hAnsi="Arial"/>
        </w:rPr>
      </w:pPr>
      <w:r w:rsidDel="00000000" w:rsidR="00000000" w:rsidRPr="00000000">
        <w:rPr>
          <w:rtl w:val="0"/>
        </w:rPr>
      </w:r>
    </w:p>
    <w:p w:rsidR="00000000" w:rsidDel="00000000" w:rsidP="00000000" w:rsidRDefault="00000000" w:rsidRPr="00000000" w14:paraId="00000004">
      <w:pPr>
        <w:pStyle w:val="Heading2"/>
        <w:rPr>
          <w:rFonts w:ascii="Arial" w:cs="Arial" w:eastAsia="Arial" w:hAnsi="Arial"/>
          <w:color w:val="000000"/>
        </w:rPr>
      </w:pPr>
      <w:r w:rsidDel="00000000" w:rsidR="00000000" w:rsidRPr="00000000">
        <w:rPr>
          <w:rFonts w:ascii="Arial" w:cs="Arial" w:eastAsia="Arial" w:hAnsi="Arial"/>
          <w:color w:val="000000"/>
          <w:rtl w:val="0"/>
        </w:rPr>
        <w:t xml:space="preserve">1. Resumen Ejecutivo / Introducción</w:t>
      </w:r>
    </w:p>
    <w:p w:rsidR="00000000" w:rsidDel="00000000" w:rsidP="00000000" w:rsidRDefault="00000000" w:rsidRPr="00000000" w14:paraId="00000005">
      <w:pPr>
        <w:numPr>
          <w:ilvl w:val="0"/>
          <w:numId w:val="5"/>
        </w:numPr>
        <w:spacing w:after="0" w:before="28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Descripción general del proyecto</w:t>
      </w:r>
    </w:p>
    <w:p w:rsidR="00000000" w:rsidDel="00000000" w:rsidP="00000000" w:rsidRDefault="00000000" w:rsidRPr="00000000" w14:paraId="00000006">
      <w:pPr>
        <w:numPr>
          <w:ilvl w:val="0"/>
          <w:numId w:val="5"/>
        </w:numPr>
        <w:spacing w:after="0" w:before="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Problema identificado</w:t>
      </w:r>
    </w:p>
    <w:p w:rsidR="00000000" w:rsidDel="00000000" w:rsidP="00000000" w:rsidRDefault="00000000" w:rsidRPr="00000000" w14:paraId="00000007">
      <w:pPr>
        <w:numPr>
          <w:ilvl w:val="0"/>
          <w:numId w:val="5"/>
        </w:numPr>
        <w:spacing w:after="0" w:before="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Solución propuesta</w:t>
      </w:r>
    </w:p>
    <w:p w:rsidR="00000000" w:rsidDel="00000000" w:rsidP="00000000" w:rsidRDefault="00000000" w:rsidRPr="00000000" w14:paraId="00000008">
      <w:pPr>
        <w:numPr>
          <w:ilvl w:val="0"/>
          <w:numId w:val="5"/>
        </w:numPr>
        <w:spacing w:after="0" w:before="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Resultados esperados</w:t>
      </w:r>
    </w:p>
    <w:p w:rsidR="00000000" w:rsidDel="00000000" w:rsidP="00000000" w:rsidRDefault="00000000" w:rsidRPr="00000000" w14:paraId="00000009">
      <w:pPr>
        <w:numPr>
          <w:ilvl w:val="0"/>
          <w:numId w:val="5"/>
        </w:numPr>
        <w:spacing w:after="280" w:before="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Inversión requerida</w:t>
      </w:r>
    </w:p>
    <w:p w:rsidR="00000000" w:rsidDel="00000000" w:rsidP="00000000" w:rsidRDefault="00000000" w:rsidRPr="00000000" w14:paraId="0000000A">
      <w:pPr>
        <w:pStyle w:val="Heading2"/>
        <w:rPr>
          <w:rFonts w:ascii="Arial" w:cs="Arial" w:eastAsia="Arial" w:hAnsi="Arial"/>
        </w:rPr>
      </w:pPr>
      <w:r w:rsidDel="00000000" w:rsidR="00000000" w:rsidRPr="00000000">
        <w:rPr>
          <w:rFonts w:ascii="Arial" w:cs="Arial" w:eastAsia="Arial" w:hAnsi="Arial"/>
          <w:rtl w:val="0"/>
        </w:rPr>
        <w:t xml:space="preserve">4. Objetivos del Proyecto </w:t>
      </w:r>
    </w:p>
    <w:p w:rsidR="00000000" w:rsidDel="00000000" w:rsidP="00000000" w:rsidRDefault="00000000" w:rsidRPr="00000000" w14:paraId="0000000B">
      <w:pPr>
        <w:pStyle w:val="Heading3"/>
        <w:rPr>
          <w:rFonts w:ascii="Arial" w:cs="Arial" w:eastAsia="Arial" w:hAnsi="Arial"/>
        </w:rPr>
      </w:pPr>
      <w:bookmarkStart w:colFirst="0" w:colLast="0" w:name="_heading=h.6dobw04seomt" w:id="0"/>
      <w:bookmarkEnd w:id="0"/>
      <w:r w:rsidDel="00000000" w:rsidR="00000000" w:rsidRPr="00000000">
        <w:rPr>
          <w:rFonts w:ascii="Arial" w:cs="Arial" w:eastAsia="Arial" w:hAnsi="Arial"/>
          <w:rtl w:val="0"/>
        </w:rPr>
        <w:t xml:space="preserve">4.1 Objetivo General</w:t>
      </w:r>
    </w:p>
    <w:p w:rsidR="00000000" w:rsidDel="00000000" w:rsidP="00000000" w:rsidRDefault="00000000" w:rsidRPr="00000000" w14:paraId="0000000C">
      <w:pPr>
        <w:pStyle w:val="Heading3"/>
        <w:rPr>
          <w:rFonts w:ascii="Arial" w:cs="Arial" w:eastAsia="Arial" w:hAnsi="Arial"/>
        </w:rPr>
      </w:pPr>
      <w:bookmarkStart w:colFirst="0" w:colLast="0" w:name="_heading=h.ml11fl65a24r" w:id="1"/>
      <w:bookmarkEnd w:id="1"/>
      <w:r w:rsidDel="00000000" w:rsidR="00000000" w:rsidRPr="00000000">
        <w:rPr>
          <w:rFonts w:ascii="Arial" w:cs="Arial" w:eastAsia="Arial" w:hAnsi="Arial"/>
          <w:rtl w:val="0"/>
        </w:rPr>
        <w:t xml:space="preserve">4.2 Objetivos Específicos</w:t>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pStyle w:val="Heading2"/>
        <w:rPr>
          <w:rFonts w:ascii="Arial" w:cs="Arial" w:eastAsia="Arial" w:hAnsi="Arial"/>
        </w:rPr>
      </w:pPr>
      <w:r w:rsidDel="00000000" w:rsidR="00000000" w:rsidRPr="00000000">
        <w:rPr>
          <w:rFonts w:ascii="Arial" w:cs="Arial" w:eastAsia="Arial" w:hAnsi="Arial"/>
          <w:rtl w:val="0"/>
        </w:rPr>
        <w:t xml:space="preserve">2. Antecedentes y Justificación</w:t>
      </w:r>
    </w:p>
    <w:p w:rsidR="00000000" w:rsidDel="00000000" w:rsidP="00000000" w:rsidRDefault="00000000" w:rsidRPr="00000000" w14:paraId="0000000F">
      <w:pPr>
        <w:pStyle w:val="Heading3"/>
        <w:rPr>
          <w:rFonts w:ascii="Arial" w:cs="Arial" w:eastAsia="Arial" w:hAnsi="Arial"/>
        </w:rPr>
      </w:pPr>
      <w:r w:rsidDel="00000000" w:rsidR="00000000" w:rsidRPr="00000000">
        <w:rPr>
          <w:rFonts w:ascii="Arial" w:cs="Arial" w:eastAsia="Arial" w:hAnsi="Arial"/>
          <w:rtl w:val="0"/>
        </w:rPr>
        <w:t xml:space="preserve">2.1 Contexto de los residuos orgánicos en Bogotá</w:t>
      </w:r>
    </w:p>
    <w:p w:rsidR="00000000" w:rsidDel="00000000" w:rsidP="00000000" w:rsidRDefault="00000000" w:rsidRPr="00000000" w14:paraId="00000010">
      <w:pPr>
        <w:numPr>
          <w:ilvl w:val="0"/>
          <w:numId w:val="9"/>
        </w:numPr>
        <w:spacing w:after="280" w:before="280" w:lineRule="auto"/>
        <w:ind w:left="720" w:hanging="360"/>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Generación de residuos orgánicos</w:t>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La gestión de residuos orgánicos constituye uno de los principales desafíos ambientales y operativos para Bogotá D.C., debido al alto volumen generado y a las limitadas capacidades de aprovechamiento actualmente disponibles. Los residuos orgánicos municipales (ROM) representan la fracción predominante de los residuos sólidos generados en la ciudad y poseen un importante potencial para la producción de energía renovable y biofertilizantes mediante procesos biológicos como la digestión anaerobia.</w:t>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De acuerdo con el Observatorio de Residuos Sólidos de Bogotá, durante el año 2019 se generaron aproximadamente 1.281.323 toneladas de residuos orgánicos municipales, de las cuales únicamente se valorizaron 98.219 toneladas, equivalentes al 7,7 % del total generado. Adicionalmente, se estima que para el año 2025 la generación de residuos orgánicos alcanzará aproximadamente 1.504.662 toneladas anuales, evidenciando una tendencia creciente asociada al aumento poblacional, la expansión urbana y el crecimiento de las actividades económicas de la ciudad (UAESP, 2022).</w:t>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Los residuos orgánicos constituyen la principal fracción de los residuos sólidos municipales generados en Bogotá, representando cerca del 53 % de los residuos que ingresan diariamente al sistema de disposición final. Esta situación convierte a la gestión de residuos orgánicos en un componente estratégico para avanzar hacia modelos de economía circular, reducir la presión sobre el relleno sanitario Doña Juana y contribuir a las metas de mitigación del cambio climático establecidas por el Distrito Capital.</w:t>
      </w:r>
    </w:p>
    <w:p w:rsidR="00000000" w:rsidDel="00000000" w:rsidP="00000000" w:rsidRDefault="00000000" w:rsidRPr="00000000" w14:paraId="00000014">
      <w:pPr>
        <w:numPr>
          <w:ilvl w:val="0"/>
          <w:numId w:val="9"/>
        </w:numPr>
        <w:spacing w:after="280" w:before="280" w:lineRule="auto"/>
        <w:ind w:left="720" w:hanging="360"/>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Situación actual de aprovechamiento</w:t>
      </w:r>
    </w:p>
    <w:p w:rsidR="00000000" w:rsidDel="00000000" w:rsidP="00000000" w:rsidRDefault="00000000" w:rsidRPr="00000000" w14:paraId="00000015">
      <w:pPr>
        <w:spacing w:after="280" w:before="280" w:lineRule="auto"/>
        <w:jc w:val="both"/>
        <w:rPr>
          <w:rFonts w:ascii="Arial" w:cs="Arial" w:eastAsia="Arial" w:hAnsi="Arial"/>
          <w:color w:val="000000"/>
          <w:highlight w:val="yellow"/>
        </w:rPr>
      </w:pPr>
      <w:r w:rsidDel="00000000" w:rsidR="00000000" w:rsidRPr="00000000">
        <w:rPr>
          <w:rFonts w:ascii="Arial" w:cs="Arial" w:eastAsia="Arial" w:hAnsi="Arial"/>
          <w:color w:val="000000"/>
          <w:rtl w:val="0"/>
        </w:rPr>
        <w:t xml:space="preserve">Actualmente, la mayor parte de los residuos orgánicos generados en Bogotá continúan siendo transportados y dispuestos en el relleno sanitario Doña Juana. Según la Unidad Administrativa Especial de Servicios Públicos (UAESP), diariamente ingresan aproximadamente 6.300 toneladas de residuos sólidos al relleno sanitario, de las cuales el 53,22 % corresponde a residuos orgánicos, equivalentes a cerca de 3.350 toneladas por día con potencial de aprovechamiento (UAESP, 2018).</w:t>
      </w:r>
      <w:r w:rsidDel="00000000" w:rsidR="00000000" w:rsidRPr="00000000">
        <w:rPr>
          <w:rtl w:val="0"/>
        </w:rPr>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 pesar de este importante potencial, únicamente alrededor del 6 % de estos residuos es aprovechado mediante compostaje, lombricultura u otras alternativas de valorización. En consecuencia, aproximadamente el 94 % de los residuos orgánicos continúa siendo dispuesto en relleno sanitario, desaprovechando recursos energéticos y nutrientes que podrían reincorporarse a ciclos productivos mediante tecnologías de economía circular.</w:t>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Esta situación genera una serie de impactos ambientales, económicos y sociales asociados a la disposición final de grandes volúmenes de materia orgánica biodegradable.</w:t>
      </w:r>
    </w:p>
    <w:p w:rsidR="00000000" w:rsidDel="00000000" w:rsidP="00000000" w:rsidRDefault="00000000" w:rsidRPr="00000000" w14:paraId="00000019">
      <w:pPr>
        <w:numPr>
          <w:ilvl w:val="0"/>
          <w:numId w:val="9"/>
        </w:numPr>
        <w:spacing w:after="280" w:before="280" w:lineRule="auto"/>
        <w:ind w:left="720" w:hanging="360"/>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Problemática asociada a disposición en relleno sanitario</w:t>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La disposición de residuos orgánicos en rellenos sanitarios favorece procesos de degradación anaerobia no controlada que generan emisiones significativas de metano (CH</w:t>
      </w:r>
      <w:r w:rsidDel="00000000" w:rsidR="00000000" w:rsidRPr="00000000">
        <w:rPr>
          <w:rFonts w:ascii="Cambria Math" w:cs="Cambria Math" w:eastAsia="Cambria Math" w:hAnsi="Cambria Math"/>
          <w:b w:val="0"/>
          <w:bCs w:val="0"/>
          <w:i w:val="0"/>
          <w:iCs w:val="0"/>
          <w:smallCaps w:val="0"/>
          <w:strike w:val="0"/>
          <w:color w:val="000000"/>
          <w:sz w:val="24"/>
          <w:szCs w:val="24"/>
          <w:u w:val="none"/>
          <w:shd w:fill="auto" w:val="clear"/>
          <w:vertAlign w:val="baseline"/>
          <w:rtl w:val="0"/>
        </w:rPr>
        <w:t xml:space="preserve">₄</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uno de los principales gases de efecto invernadero. Según el Panel Intergubernamental sobre Cambio Climático (IPCC), el metano posee un potencial de calentamiento global aproximadamente 28 veces superior al dióxido de carbono (CO</w:t>
      </w:r>
      <w:r w:rsidDel="00000000" w:rsidR="00000000" w:rsidRPr="00000000">
        <w:rPr>
          <w:rFonts w:ascii="Cambria Math" w:cs="Cambria Math" w:eastAsia="Cambria Math" w:hAnsi="Cambria Math"/>
          <w:b w:val="0"/>
          <w:bCs w:val="0"/>
          <w:i w:val="0"/>
          <w:iCs w:val="0"/>
          <w:smallCaps w:val="0"/>
          <w:strike w:val="0"/>
          <w:color w:val="000000"/>
          <w:sz w:val="24"/>
          <w:szCs w:val="24"/>
          <w:u w:val="none"/>
          <w:shd w:fill="auto" w:val="clear"/>
          <w:vertAlign w:val="baseline"/>
          <w:rtl w:val="0"/>
        </w:rPr>
        <w:t xml:space="preserve">₂</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en un horizonte de 100 años (IPCC, 2014).</w:t>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Las emisiones de metano provenientes del sector residuos representan una fuente importante de gases de efecto invernadero a nivel mundial y constituyen una de las oportunidades más costo-efectivas para reducir emisiones en el corto plazo (IPCC, 2021). En este contexto, la valorización de residuos orgánicos mediante digestión anaerobia permite capturar y aprovechar energéticamente el biogás generado, evitando su liberación directa a la atmósfera.</w:t>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Adicionalmente, la disposición masiva de residuos orgánicos genera lixiviados con elevadas concentraciones de materia orgánica, nitrógeno, fósforo y otros contaminantes que requieren sistemas especializados de tratamiento para evitar afectaciones sobre los recursos hídricos y los suelos (Kaza et al., 2018).</w:t>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La acumulación continua de residuos orgánicos también acelera el agotamiento de la capacidad disponible del relleno sanitario Doña Juana, incrementando los costos operativos asociados a la disposición final y aumentando la necesidad futura de nuevas infraestructuras para el manejo de residuos.</w:t>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F">
      <w:pPr>
        <w:spacing w:after="280" w:before="28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020">
      <w:pPr>
        <w:spacing w:after="280" w:before="280" w:lineRule="auto"/>
        <w:ind w:left="720" w:firstLine="0"/>
        <w:rPr>
          <w:rFonts w:ascii="Arial" w:cs="Arial" w:eastAsia="Arial" w:hAnsi="Arial"/>
          <w:color w:val="000000"/>
        </w:rPr>
      </w:pPr>
      <w:r w:rsidDel="00000000" w:rsidR="00000000" w:rsidRPr="00000000">
        <w:rPr>
          <w:rtl w:val="0"/>
        </w:rPr>
      </w:r>
    </w:p>
    <w:p w:rsidR="00000000" w:rsidDel="00000000" w:rsidP="00000000" w:rsidRDefault="00000000" w:rsidRPr="00000000" w14:paraId="00000021">
      <w:pPr>
        <w:pStyle w:val="Heading3"/>
        <w:rPr>
          <w:rFonts w:ascii="Arial" w:cs="Arial" w:eastAsia="Arial" w:hAnsi="Arial"/>
        </w:rPr>
      </w:pPr>
      <w:r w:rsidDel="00000000" w:rsidR="00000000" w:rsidRPr="00000000">
        <w:rPr>
          <w:rFonts w:ascii="Arial" w:cs="Arial" w:eastAsia="Arial" w:hAnsi="Arial"/>
          <w:rtl w:val="0"/>
        </w:rPr>
        <w:t xml:space="preserve">2.2 Problemática identificada</w:t>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Los ROM representan la principal corriente de los residuos sólidos municipales y se componen de residuos de alimentos y de cocina procedentes de hogares, restaurantes, hoteles, escuelas, hospitales, comercios y mercados; así como de residuos de parques y jardines. En los países o entornos de ingresos bajos y medios esta fracción suele constituir más del 50% del total de los residuos generados y puede llegar al 80%. Los ROM no gestionados suponen una amenaza considerable para la salud pública y el ambiente, ya que producen olores ofensivos, atraen vectores de enfermedades, generan lixiviados y emiten metano, un importante GEI. </w:t>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La capacidad instalada para el tratamiento de residuos orgánicos en Bogotá continúa siendo insuficiente frente a los volúmenes generados. En el sector público existen dos instalaciones principales para el tratamiento de residuos orgánicos: la planta de compostaje y lombricultura ubicada en Mochuelo Bajo y la planta de compostaje de Usaquén. Entre ambas suman una capacidad aproximada de tratamiento de 1.440 toneladas por año y actualmente procesan alrededor de 1.225 toneladas anuales (UAESP, 2022).</w:t>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Por su parte, se han identificado aproximadamente 20 plantas privadas de valorización de residuos orgánicos mediante compostaje y lombricultura en el área metropolitana de Bogotá. Estas instalaciones cuentan con una capacidad conjunta cercana a las 242.300 toneladas por año; sin embargo, operan aproximadamente al 47 % de su capacidad instalada, procesando cerca de 114.800 toneladas anuales (UAESP, 2022).</w:t>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Las principales limitaciones identificadas para incrementar el aprovechamiento incluyen:</w:t>
      </w:r>
    </w:p>
    <w:p w:rsidR="00000000" w:rsidDel="00000000" w:rsidP="00000000" w:rsidRDefault="00000000" w:rsidRPr="00000000" w14:paraId="00000026">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Baja separación en la fuente.</w:t>
      </w:r>
    </w:p>
    <w:p w:rsidR="00000000" w:rsidDel="00000000" w:rsidP="00000000" w:rsidRDefault="00000000" w:rsidRPr="00000000" w14:paraId="00000027">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Contaminación de los residuos recolectados.</w:t>
      </w:r>
    </w:p>
    <w:p w:rsidR="00000000" w:rsidDel="00000000" w:rsidP="00000000" w:rsidRDefault="00000000" w:rsidRPr="00000000" w14:paraId="00000028">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Costos de transporte y logística.</w:t>
      </w:r>
    </w:p>
    <w:p w:rsidR="00000000" w:rsidDel="00000000" w:rsidP="00000000" w:rsidRDefault="00000000" w:rsidRPr="00000000" w14:paraId="00000029">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Barreras regulatorias y de licenciamiento.</w:t>
      </w:r>
    </w:p>
    <w:p w:rsidR="00000000" w:rsidDel="00000000" w:rsidP="00000000" w:rsidRDefault="00000000" w:rsidRPr="00000000" w14:paraId="0000002A">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Limitada articulación entre actores de la cadena.</w:t>
      </w:r>
    </w:p>
    <w:p w:rsidR="00000000" w:rsidDel="00000000" w:rsidP="00000000" w:rsidRDefault="00000000" w:rsidRPr="00000000" w14:paraId="0000002B">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Déficit de infraestructura especializada </w:t>
      </w:r>
      <w:r w:rsidDel="00000000" w:rsidR="00000000" w:rsidRPr="00000000">
        <w:rPr>
          <w:rFonts w:ascii="Arial" w:cs="Arial" w:eastAsia="Arial" w:hAnsi="Arial"/>
          <w:rtl w:val="0"/>
        </w:rPr>
        <w:t xml:space="preserve">para la valorización</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energética.</w:t>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Estas restricciones evidencian la necesidad de implementar nuevas soluciones tecnológicas que complementen las capacidades existentes y permitan aumentar significativamente las tasas de aprovechamiento de residuos orgánicos en la ciudad.</w:t>
      </w:r>
    </w:p>
    <w:p w:rsidR="00000000" w:rsidDel="00000000" w:rsidP="00000000" w:rsidRDefault="00000000" w:rsidRPr="00000000" w14:paraId="0000002D">
      <w:pPr>
        <w:pStyle w:val="Heading3"/>
        <w:rPr>
          <w:rFonts w:ascii="Arial" w:cs="Arial" w:eastAsia="Arial" w:hAnsi="Arial"/>
        </w:rPr>
      </w:pPr>
      <w:r w:rsidDel="00000000" w:rsidR="00000000" w:rsidRPr="00000000">
        <w:rPr>
          <w:rFonts w:ascii="Arial" w:cs="Arial" w:eastAsia="Arial" w:hAnsi="Arial"/>
          <w:rtl w:val="0"/>
        </w:rPr>
        <w:t xml:space="preserve">2.3 Justificación de la solución propuesta</w:t>
      </w:r>
    </w:p>
    <w:p w:rsidR="00000000" w:rsidDel="00000000" w:rsidP="00000000" w:rsidRDefault="00000000" w:rsidRPr="00000000" w14:paraId="0000002E">
      <w:pPr>
        <w:numPr>
          <w:ilvl w:val="0"/>
          <w:numId w:val="10"/>
        </w:numPr>
        <w:spacing w:after="280" w:before="280" w:lineRule="auto"/>
        <w:ind w:left="720" w:hanging="360"/>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Comparación de alternativas tecnológicas</w:t>
      </w:r>
    </w:p>
    <w:p w:rsidR="00000000" w:rsidDel="00000000" w:rsidP="00000000" w:rsidRDefault="00000000" w:rsidRPr="00000000" w14:paraId="0000002F">
      <w:pPr>
        <w:jc w:val="both"/>
        <w:rPr>
          <w:rFonts w:ascii="Arial" w:cs="Arial" w:eastAsia="Arial" w:hAnsi="Arial"/>
        </w:rPr>
      </w:pPr>
      <w:r w:rsidDel="00000000" w:rsidR="00000000" w:rsidRPr="00000000">
        <w:rPr>
          <w:rFonts w:ascii="Arial" w:cs="Arial" w:eastAsia="Arial" w:hAnsi="Arial"/>
          <w:rtl w:val="0"/>
        </w:rPr>
        <w:t xml:space="preserve">Avanzar en la gestión de los ROM implica reducir las amenazas para la salud pública y la carga ambiental, y devolver el valor de los recursos provenientes de los residuos a la economía. Esta transición refleja el cambio de paradigma hacia una economía circular, al tiempo que se consideran nuevas oportunidades de negocio y crecimiento económico.</w:t>
      </w:r>
    </w:p>
    <w:p w:rsidR="00000000" w:rsidDel="00000000" w:rsidP="00000000" w:rsidRDefault="00000000" w:rsidRPr="00000000" w14:paraId="00000030">
      <w:pPr>
        <w:jc w:val="both"/>
        <w:rPr>
          <w:rFonts w:ascii="Arial" w:cs="Arial" w:eastAsia="Arial" w:hAnsi="Arial"/>
        </w:rPr>
      </w:pPr>
      <w:r w:rsidDel="00000000" w:rsidR="00000000" w:rsidRPr="00000000">
        <w:rPr>
          <w:rtl w:val="0"/>
        </w:rPr>
      </w:r>
    </w:p>
    <w:p w:rsidR="00000000" w:rsidDel="00000000" w:rsidP="00000000" w:rsidRDefault="00000000" w:rsidRPr="00000000" w14:paraId="00000031">
      <w:pPr>
        <w:jc w:val="both"/>
        <w:rPr>
          <w:rFonts w:ascii="Arial" w:cs="Arial" w:eastAsia="Arial" w:hAnsi="Arial"/>
        </w:rPr>
      </w:pPr>
      <w:r w:rsidDel="00000000" w:rsidR="00000000" w:rsidRPr="00000000">
        <w:rPr>
          <w:rFonts w:ascii="Arial" w:cs="Arial" w:eastAsia="Arial" w:hAnsi="Arial"/>
          <w:rtl w:val="0"/>
        </w:rPr>
        <w:t xml:space="preserve">En este contexto, las tecnologías de tratamiento de ROM se definen como procesos que los convierten en nuevos productos con cierto valor potencial. Las tecnologías más utilizadas en el mundo para el tratamiento de los ROM son el compostaje y la biodigestión anaerobia. No obstante, existen otras tecnologías tradicionales, además de tecnologías emergentes. Las tecnologías de tratamiento de los ROM se pueden agrupar en dos categorías principales: (1) tratamientos biológicos (compostaje, lombricultura, tratamiento con la mosca soldado-negra, digestión anaeróbica, fermentación) y (2) tratamientos termoquímicos (pirólisis, gasificación). </w:t>
      </w:r>
    </w:p>
    <w:p w:rsidR="00000000" w:rsidDel="00000000" w:rsidP="00000000" w:rsidRDefault="00000000" w:rsidRPr="00000000" w14:paraId="00000032">
      <w:pPr>
        <w:jc w:val="both"/>
        <w:rPr>
          <w:rFonts w:ascii="Arial" w:cs="Arial" w:eastAsia="Arial" w:hAnsi="Arial"/>
        </w:rPr>
      </w:pPr>
      <w:r w:rsidDel="00000000" w:rsidR="00000000" w:rsidRPr="00000000">
        <w:rPr>
          <w:rtl w:val="0"/>
        </w:rPr>
      </w:r>
    </w:p>
    <w:p w:rsidR="00000000" w:rsidDel="00000000" w:rsidP="00000000" w:rsidRDefault="00000000" w:rsidRPr="00000000" w14:paraId="00000033">
      <w:pPr>
        <w:jc w:val="both"/>
        <w:rPr>
          <w:rFonts w:ascii="Arial" w:cs="Arial" w:eastAsia="Arial" w:hAnsi="Arial"/>
          <w:color w:val="ee0000"/>
          <w:highlight w:val="yellow"/>
        </w:rPr>
      </w:pPr>
      <w:r w:rsidDel="00000000" w:rsidR="00000000" w:rsidRPr="00000000">
        <w:rPr>
          <w:rFonts w:ascii="Arial" w:cs="Arial" w:eastAsia="Arial" w:hAnsi="Arial"/>
          <w:rtl w:val="0"/>
        </w:rPr>
        <w:t xml:space="preserve">Cabe mencionar que los tratamientos termoquímicos, si bien se consideran teóricamente una alternativa para la valorización de los residuos orgánicos, en la práctica se han desarrollado, en general, solamente a nivel de prototipos, sin que se hayan consolidado a nivel industrial. </w:t>
      </w:r>
      <w:r w:rsidDel="00000000" w:rsidR="00000000" w:rsidRPr="00000000">
        <w:rPr>
          <w:rtl w:val="0"/>
        </w:rPr>
      </w:r>
    </w:p>
    <w:p w:rsidR="00000000" w:rsidDel="00000000" w:rsidP="00000000" w:rsidRDefault="00000000" w:rsidRPr="00000000" w14:paraId="00000034">
      <w:pPr>
        <w:jc w:val="both"/>
        <w:rPr>
          <w:rFonts w:ascii="Arial" w:cs="Arial" w:eastAsia="Arial" w:hAnsi="Arial"/>
          <w:color w:val="ee0000"/>
          <w:highlight w:val="yellow"/>
        </w:rPr>
      </w:pPr>
      <w:r w:rsidDel="00000000" w:rsidR="00000000" w:rsidRPr="00000000">
        <w:rPr>
          <w:rtl w:val="0"/>
        </w:rPr>
      </w:r>
    </w:p>
    <w:p w:rsidR="00000000" w:rsidDel="00000000" w:rsidP="00000000" w:rsidRDefault="00000000" w:rsidRPr="00000000" w14:paraId="00000035">
      <w:pPr>
        <w:jc w:val="both"/>
        <w:rPr>
          <w:rFonts w:ascii="Arial" w:cs="Arial" w:eastAsia="Arial" w:hAnsi="Arial"/>
          <w:color w:val="ee0000"/>
        </w:rPr>
      </w:pPr>
      <w:r w:rsidDel="00000000" w:rsidR="00000000" w:rsidRPr="00000000">
        <w:rPr>
          <w:rFonts w:ascii="Arial" w:cs="Arial" w:eastAsia="Arial" w:hAnsi="Arial"/>
          <w:color w:val="ee0000"/>
          <w:rtl w:val="0"/>
        </w:rPr>
        <w:t xml:space="preserve">Tecnologías de tratamiento de ROM</w:t>
      </w:r>
    </w:p>
    <w:p w:rsidR="00000000" w:rsidDel="00000000" w:rsidP="00000000" w:rsidRDefault="00000000" w:rsidRPr="00000000" w14:paraId="00000036">
      <w:pPr>
        <w:jc w:val="both"/>
        <w:rPr>
          <w:rFonts w:ascii="Arial" w:cs="Arial" w:eastAsia="Arial" w:hAnsi="Arial"/>
          <w:color w:val="ee0000"/>
        </w:rPr>
      </w:pPr>
      <w:r w:rsidDel="00000000" w:rsidR="00000000" w:rsidRPr="00000000">
        <w:rPr>
          <w:rtl w:val="0"/>
        </w:rPr>
      </w:r>
    </w:p>
    <w:p w:rsidR="00000000" w:rsidDel="00000000" w:rsidP="00000000" w:rsidRDefault="00000000" w:rsidRPr="00000000" w14:paraId="00000037">
      <w:pPr>
        <w:jc w:val="both"/>
        <w:rPr>
          <w:rFonts w:ascii="Arial" w:cs="Arial" w:eastAsia="Arial" w:hAnsi="Arial"/>
          <w:color w:val="ee0000"/>
        </w:rPr>
      </w:pPr>
      <w:r w:rsidDel="00000000" w:rsidR="00000000" w:rsidRPr="00000000">
        <w:rPr>
          <w:rFonts w:ascii="Arial" w:cs="Arial" w:eastAsia="Arial" w:hAnsi="Arial"/>
          <w:color w:val="ee0000"/>
          <w:rtl w:val="0"/>
        </w:rPr>
        <w:t xml:space="preserve">Los ROM representan la principal corriente de los residuos sólidos municipales. Según el informe del Banco Mundial publicado en el año 2018, los residuos orgánicos comprenden entre el 44 y 46% (en peso) de los residuos sólidos municipales. En los países o entornos de ingresos bajos y medios esta fracción suele constituir más del 50% del total de los residuos generados y puede llegar al 80%.  De acuerdo con la International Solid Waste Association (ISWA) en su “Evaluación global de la producción y reciclaje de residuos orgánicos municipales” del año 2020, en 2016 se produjeron aproximadamente 2.6 millones de toneladas diarias de residuos orgánicos municipales (ROM) y se espera que se incremente hasta 4.5 millones de toneladas diarias para el año 2050.</w:t>
      </w:r>
    </w:p>
    <w:p w:rsidR="00000000" w:rsidDel="00000000" w:rsidP="00000000" w:rsidRDefault="00000000" w:rsidRPr="00000000" w14:paraId="00000038">
      <w:pPr>
        <w:jc w:val="center"/>
        <w:rPr>
          <w:rFonts w:ascii="Arial" w:cs="Arial" w:eastAsia="Arial" w:hAnsi="Arial"/>
          <w:color w:val="ee0000"/>
        </w:rPr>
      </w:pPr>
      <w:r w:rsidDel="00000000" w:rsidR="00000000" w:rsidRPr="00000000">
        <w:rPr>
          <w:rFonts w:ascii="Arial" w:cs="Arial" w:eastAsia="Arial" w:hAnsi="Arial"/>
          <w:color w:val="ee0000"/>
        </w:rPr>
        <w:drawing>
          <wp:inline distB="0" distT="0" distL="0" distR="0">
            <wp:extent cx="3357979" cy="4206950"/>
            <wp:effectExtent b="0" l="0" r="0" t="0"/>
            <wp:docPr id="1"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3357979" cy="4206950"/>
                    </a:xfrm>
                    <a:prstGeom prst="rect"/>
                    <a:ln/>
                  </pic:spPr>
                </pic:pic>
              </a:graphicData>
            </a:graphic>
          </wp:inline>
        </w:drawing>
      </w:r>
      <w:r w:rsidDel="00000000" w:rsidR="00000000" w:rsidRPr="00000000">
        <w:rPr>
          <w:rtl w:val="0"/>
        </w:rPr>
      </w:r>
    </w:p>
    <w:p w:rsidR="00000000" w:rsidDel="00000000" w:rsidP="00000000" w:rsidRDefault="00000000" w:rsidRPr="00000000" w14:paraId="00000039">
      <w:pPr>
        <w:jc w:val="both"/>
        <w:rPr>
          <w:rFonts w:ascii="Arial" w:cs="Arial" w:eastAsia="Arial" w:hAnsi="Arial"/>
          <w:color w:val="ee0000"/>
        </w:rPr>
      </w:pPr>
      <w:r w:rsidDel="00000000" w:rsidR="00000000" w:rsidRPr="00000000">
        <w:rPr>
          <w:rFonts w:ascii="Arial" w:cs="Arial" w:eastAsia="Arial" w:hAnsi="Arial"/>
          <w:color w:val="ee0000"/>
          <w:rtl w:val="0"/>
        </w:rPr>
        <w:t xml:space="preserve">I. Tratamientos Biológicos</w:t>
      </w:r>
    </w:p>
    <w:p w:rsidR="00000000" w:rsidDel="00000000" w:rsidP="00000000" w:rsidRDefault="00000000" w:rsidRPr="00000000" w14:paraId="0000003A">
      <w:pPr>
        <w:jc w:val="both"/>
        <w:rPr>
          <w:rFonts w:ascii="Arial" w:cs="Arial" w:eastAsia="Arial" w:hAnsi="Arial"/>
          <w:color w:val="ee0000"/>
          <w:u w:val="single"/>
        </w:rPr>
      </w:pPr>
      <w:r w:rsidDel="00000000" w:rsidR="00000000" w:rsidRPr="00000000">
        <w:rPr>
          <w:rFonts w:ascii="Arial" w:cs="Arial" w:eastAsia="Arial" w:hAnsi="Arial"/>
          <w:color w:val="ee0000"/>
          <w:u w:val="single"/>
          <w:rtl w:val="0"/>
        </w:rPr>
        <w:t xml:space="preserve">I.1. Compostaje</w:t>
      </w:r>
    </w:p>
    <w:p w:rsidR="00000000" w:rsidDel="00000000" w:rsidP="00000000" w:rsidRDefault="00000000" w:rsidRPr="00000000" w14:paraId="0000003B">
      <w:pPr>
        <w:jc w:val="both"/>
        <w:rPr>
          <w:rFonts w:ascii="Arial" w:cs="Arial" w:eastAsia="Arial" w:hAnsi="Arial"/>
          <w:color w:val="ee0000"/>
        </w:rPr>
      </w:pPr>
      <w:r w:rsidDel="00000000" w:rsidR="00000000" w:rsidRPr="00000000">
        <w:rPr>
          <w:rFonts w:ascii="Arial" w:cs="Arial" w:eastAsia="Arial" w:hAnsi="Arial"/>
          <w:color w:val="ee0000"/>
          <w:rtl w:val="0"/>
        </w:rPr>
        <w:t xml:space="preserve">El compostaje es un sistema de tratamiento de residuos orgánicos a través del cual los residuos se descomponen en condiciones controladas por efecto de la acción de microorganismos, en presencia de oxígeno. Este proceso ocurre en presencia de humedad y genera elevadas temperaturas que permiten higienizar la mezcla, produciendo dióxido de carbono, agua y materia orgánica estabilizada denominada compost. Se estima que, del total de residuos orgánicos que entran a un proceso de compostaje, entre el 20-30% termina convertido en compost.</w:t>
      </w:r>
    </w:p>
    <w:p w:rsidR="00000000" w:rsidDel="00000000" w:rsidP="00000000" w:rsidRDefault="00000000" w:rsidRPr="00000000" w14:paraId="0000003C">
      <w:pPr>
        <w:jc w:val="both"/>
        <w:rPr>
          <w:rFonts w:ascii="Arial" w:cs="Arial" w:eastAsia="Arial" w:hAnsi="Arial"/>
          <w:color w:val="ee0000"/>
        </w:rPr>
      </w:pPr>
      <w:r w:rsidDel="00000000" w:rsidR="00000000" w:rsidRPr="00000000">
        <w:rPr>
          <w:rtl w:val="0"/>
        </w:rPr>
      </w:r>
    </w:p>
    <w:p w:rsidR="00000000" w:rsidDel="00000000" w:rsidP="00000000" w:rsidRDefault="00000000" w:rsidRPr="00000000" w14:paraId="0000003D">
      <w:pPr>
        <w:jc w:val="both"/>
        <w:rPr>
          <w:rFonts w:ascii="Arial" w:cs="Arial" w:eastAsia="Arial" w:hAnsi="Arial"/>
          <w:color w:val="ee0000"/>
        </w:rPr>
      </w:pPr>
      <w:r w:rsidDel="00000000" w:rsidR="00000000" w:rsidRPr="00000000">
        <w:rPr>
          <w:rFonts w:ascii="Arial" w:cs="Arial" w:eastAsia="Arial" w:hAnsi="Arial"/>
          <w:color w:val="ee0000"/>
          <w:rtl w:val="0"/>
        </w:rPr>
        <w:t xml:space="preserve">Las condiciones que favorecen el crecimiento de los microorganismos aeróbicos son: presencia de oxígeno, temperatura adecuada (etapa inicial ~ 50°C, etapa final ~ 40°C), humedad (50 - 70% en peso) y una relación C/N balanceada. Otros factores que pueden influir en el desarrollo son el pH (Compostaje activo ~ 5, Etapa de curado ~ 8.0 - 9.0), fuentes energéticas de fácil solubilización como azucares simples y la superficie de contacto o tamaño de partícula. Para cumplir estas condiciones, normalmente los ROM deben mezclarse con materiales o residuos vegetales voluminosos secos y ricos en carbono antes de iniciar el proceso de compostaje, tales como poda de árboles, corte de césped o residuos con alto contenido lignocelulósico de actividades agrícolas.</w:t>
      </w:r>
    </w:p>
    <w:p w:rsidR="00000000" w:rsidDel="00000000" w:rsidP="00000000" w:rsidRDefault="00000000" w:rsidRPr="00000000" w14:paraId="0000003E">
      <w:pPr>
        <w:jc w:val="both"/>
        <w:rPr>
          <w:rFonts w:ascii="Arial" w:cs="Arial" w:eastAsia="Arial" w:hAnsi="Arial"/>
          <w:color w:val="ee0000"/>
        </w:rPr>
      </w:pPr>
      <w:r w:rsidDel="00000000" w:rsidR="00000000" w:rsidRPr="00000000">
        <w:rPr>
          <w:rtl w:val="0"/>
        </w:rPr>
      </w:r>
    </w:p>
    <w:p w:rsidR="00000000" w:rsidDel="00000000" w:rsidP="00000000" w:rsidRDefault="00000000" w:rsidRPr="00000000" w14:paraId="0000003F">
      <w:pPr>
        <w:jc w:val="both"/>
        <w:rPr>
          <w:rFonts w:ascii="Arial" w:cs="Arial" w:eastAsia="Arial" w:hAnsi="Arial"/>
          <w:color w:val="ee0000"/>
          <w:u w:val="single"/>
        </w:rPr>
      </w:pPr>
      <w:r w:rsidDel="00000000" w:rsidR="00000000" w:rsidRPr="00000000">
        <w:rPr>
          <w:rFonts w:ascii="Arial" w:cs="Arial" w:eastAsia="Arial" w:hAnsi="Arial"/>
          <w:color w:val="ee0000"/>
          <w:u w:val="single"/>
          <w:rtl w:val="0"/>
        </w:rPr>
        <w:t xml:space="preserve">I.2. Lombricultura</w:t>
      </w:r>
    </w:p>
    <w:p w:rsidR="00000000" w:rsidDel="00000000" w:rsidP="00000000" w:rsidRDefault="00000000" w:rsidRPr="00000000" w14:paraId="00000040">
      <w:pPr>
        <w:jc w:val="both"/>
        <w:rPr>
          <w:rFonts w:ascii="Arial" w:cs="Arial" w:eastAsia="Arial" w:hAnsi="Arial"/>
          <w:color w:val="ee0000"/>
        </w:rPr>
      </w:pPr>
      <w:r w:rsidDel="00000000" w:rsidR="00000000" w:rsidRPr="00000000">
        <w:rPr>
          <w:rFonts w:ascii="Arial" w:cs="Arial" w:eastAsia="Arial" w:hAnsi="Arial"/>
          <w:color w:val="ee0000"/>
          <w:rtl w:val="0"/>
        </w:rPr>
        <w:t xml:space="preserve">La lombricultura es un proceso de bio-oxidación, degradación y estabilización de la materia orgánica por la acción combinada de lombrices y microorganismos en</w:t>
      </w:r>
    </w:p>
    <w:p w:rsidR="00000000" w:rsidDel="00000000" w:rsidP="00000000" w:rsidRDefault="00000000" w:rsidRPr="00000000" w14:paraId="00000041">
      <w:pPr>
        <w:jc w:val="both"/>
        <w:rPr>
          <w:rFonts w:ascii="Arial" w:cs="Arial" w:eastAsia="Arial" w:hAnsi="Arial"/>
          <w:color w:val="ee0000"/>
        </w:rPr>
      </w:pPr>
      <w:r w:rsidDel="00000000" w:rsidR="00000000" w:rsidRPr="00000000">
        <w:rPr>
          <w:rFonts w:ascii="Arial" w:cs="Arial" w:eastAsia="Arial" w:hAnsi="Arial"/>
          <w:color w:val="ee0000"/>
          <w:rtl w:val="0"/>
        </w:rPr>
        <w:t xml:space="preserve">condiciones controladas, que se utiliza principalmente en el tratamiento de cantidades pequeñas de ROM. Del proceso se obtiene un producto final estabilizado, homogéneo y de granulometría fina denominado vermicompost, lombricompost, compost de lombriz o humus de lombriz58. El proceso de lombricultura se favorece con temperaturas entre 20- 33°C y una humedad alrededor de 80%59, pH entre 7.5 y 8 y baja luminosidad. </w:t>
      </w:r>
    </w:p>
    <w:p w:rsidR="00000000" w:rsidDel="00000000" w:rsidP="00000000" w:rsidRDefault="00000000" w:rsidRPr="00000000" w14:paraId="00000042">
      <w:pPr>
        <w:jc w:val="both"/>
        <w:rPr>
          <w:rFonts w:ascii="Arial" w:cs="Arial" w:eastAsia="Arial" w:hAnsi="Arial"/>
          <w:color w:val="ee0000"/>
        </w:rPr>
      </w:pPr>
      <w:r w:rsidDel="00000000" w:rsidR="00000000" w:rsidRPr="00000000">
        <w:rPr>
          <w:rtl w:val="0"/>
        </w:rPr>
      </w:r>
    </w:p>
    <w:p w:rsidR="00000000" w:rsidDel="00000000" w:rsidP="00000000" w:rsidRDefault="00000000" w:rsidRPr="00000000" w14:paraId="00000043">
      <w:pPr>
        <w:jc w:val="both"/>
        <w:rPr>
          <w:rFonts w:ascii="Arial" w:cs="Arial" w:eastAsia="Arial" w:hAnsi="Arial"/>
          <w:color w:val="ee0000"/>
        </w:rPr>
      </w:pPr>
      <w:r w:rsidDel="00000000" w:rsidR="00000000" w:rsidRPr="00000000">
        <w:rPr>
          <w:rFonts w:ascii="Arial" w:cs="Arial" w:eastAsia="Arial" w:hAnsi="Arial"/>
          <w:color w:val="ee0000"/>
          <w:rtl w:val="0"/>
        </w:rPr>
        <w:t xml:space="preserve">La especie de lombriz que más se utiliza, es la “lombriz roja californiana” Eisenia foetida. Los excedentes de lombriz se pueden comercializar como: pie de cría para instalar otras plantas de lombricultura, de carnada para pesca, para alimentación de peces, aves y ganado o usándola en forma de harina. También puede utilizarse en la alimentación humana, la lombriz tiene un alto contenido de proteínas, además de un excelente contenido de aminoácidos y vitaminas. El lombricompost presenta una carga de microorganismos muy alta, de varios millones por gramo de material seco, lo que genera una alta carga enzimática y bacteriana, que ayuda en la solubilización de los nutrientes en el suelo. Se puede usar de la misma manera que el compost, pero es un abono de mayor calidad: tiene más nutrientes y microorganismos por gramo seco.</w:t>
      </w:r>
    </w:p>
    <w:p w:rsidR="00000000" w:rsidDel="00000000" w:rsidP="00000000" w:rsidRDefault="00000000" w:rsidRPr="00000000" w14:paraId="00000044">
      <w:pPr>
        <w:jc w:val="both"/>
        <w:rPr>
          <w:rFonts w:ascii="Arial" w:cs="Arial" w:eastAsia="Arial" w:hAnsi="Arial"/>
          <w:color w:val="ee0000"/>
        </w:rPr>
      </w:pPr>
      <w:r w:rsidDel="00000000" w:rsidR="00000000" w:rsidRPr="00000000">
        <w:rPr>
          <w:rtl w:val="0"/>
        </w:rPr>
      </w:r>
    </w:p>
    <w:p w:rsidR="00000000" w:rsidDel="00000000" w:rsidP="00000000" w:rsidRDefault="00000000" w:rsidRPr="00000000" w14:paraId="00000045">
      <w:pPr>
        <w:jc w:val="both"/>
        <w:rPr>
          <w:rFonts w:ascii="Arial" w:cs="Arial" w:eastAsia="Arial" w:hAnsi="Arial"/>
          <w:color w:val="ee0000"/>
          <w:u w:val="single"/>
        </w:rPr>
      </w:pPr>
      <w:r w:rsidDel="00000000" w:rsidR="00000000" w:rsidRPr="00000000">
        <w:rPr>
          <w:rFonts w:ascii="Arial" w:cs="Arial" w:eastAsia="Arial" w:hAnsi="Arial"/>
          <w:color w:val="ee0000"/>
          <w:u w:val="single"/>
          <w:rtl w:val="0"/>
        </w:rPr>
        <w:t xml:space="preserve">I.3. Mosca soldado-negra</w:t>
      </w:r>
    </w:p>
    <w:p w:rsidR="00000000" w:rsidDel="00000000" w:rsidP="00000000" w:rsidRDefault="00000000" w:rsidRPr="00000000" w14:paraId="00000046">
      <w:pPr>
        <w:jc w:val="both"/>
        <w:rPr>
          <w:rFonts w:ascii="Arial" w:cs="Arial" w:eastAsia="Arial" w:hAnsi="Arial"/>
          <w:color w:val="ee0000"/>
        </w:rPr>
      </w:pPr>
      <w:r w:rsidDel="00000000" w:rsidR="00000000" w:rsidRPr="00000000">
        <w:rPr>
          <w:rFonts w:ascii="Arial" w:cs="Arial" w:eastAsia="Arial" w:hAnsi="Arial"/>
          <w:color w:val="ee0000"/>
          <w:rtl w:val="0"/>
        </w:rPr>
        <w:t xml:space="preserve">El tratamiento de los residuos orgánicos con la mosca soldado-negra es una tecnología emergente. Consiste en el uso de las larvas de la mosca soldado-negra, Hermetia illucens. Las larvas están compuestas de ~35% de proteínas y ~30% de grasa bruta. Esta proteína de insecto es un recurso alimenticio potencial para los criadores de pollos y peces, aspecto que favorece la rentabilidad económica de esta tecnología.</w:t>
      </w:r>
    </w:p>
    <w:p w:rsidR="00000000" w:rsidDel="00000000" w:rsidP="00000000" w:rsidRDefault="00000000" w:rsidRPr="00000000" w14:paraId="00000047">
      <w:pPr>
        <w:jc w:val="both"/>
        <w:rPr>
          <w:rFonts w:ascii="Arial" w:cs="Arial" w:eastAsia="Arial" w:hAnsi="Arial"/>
          <w:color w:val="ee0000"/>
        </w:rPr>
      </w:pPr>
      <w:r w:rsidDel="00000000" w:rsidR="00000000" w:rsidRPr="00000000">
        <w:rPr>
          <w:rtl w:val="0"/>
        </w:rPr>
      </w:r>
    </w:p>
    <w:p w:rsidR="00000000" w:rsidDel="00000000" w:rsidP="00000000" w:rsidRDefault="00000000" w:rsidRPr="00000000" w14:paraId="00000048">
      <w:pPr>
        <w:jc w:val="both"/>
        <w:rPr>
          <w:rFonts w:ascii="Arial" w:cs="Arial" w:eastAsia="Arial" w:hAnsi="Arial"/>
          <w:color w:val="ee0000"/>
        </w:rPr>
      </w:pPr>
      <w:r w:rsidDel="00000000" w:rsidR="00000000" w:rsidRPr="00000000">
        <w:rPr>
          <w:rFonts w:ascii="Arial" w:cs="Arial" w:eastAsia="Arial" w:hAnsi="Arial"/>
          <w:color w:val="ee0000"/>
          <w:rtl w:val="0"/>
        </w:rPr>
        <w:t xml:space="preserve">Esta especie se alimenta de los ROM durante su fase de larva hasta que entra en la fase de pupa, momento en que se cosecha. En condiciones controladas (28 °C, 75% de humedad relativa), el desarrollo total desde el huevo hasta el adulto dura 20-35 días. Como mosca, sobreviven una semana, durante la cual se centran en reproducirse. Como mosca, no se alimentan y, por tanto, tampoco transmiten enfermedades.</w:t>
      </w:r>
    </w:p>
    <w:p w:rsidR="00000000" w:rsidDel="00000000" w:rsidP="00000000" w:rsidRDefault="00000000" w:rsidRPr="00000000" w14:paraId="00000049">
      <w:pPr>
        <w:jc w:val="both"/>
        <w:rPr>
          <w:rFonts w:ascii="Arial" w:cs="Arial" w:eastAsia="Arial" w:hAnsi="Arial"/>
          <w:color w:val="ee0000"/>
        </w:rPr>
      </w:pPr>
      <w:r w:rsidDel="00000000" w:rsidR="00000000" w:rsidRPr="00000000">
        <w:rPr>
          <w:rtl w:val="0"/>
        </w:rPr>
      </w:r>
    </w:p>
    <w:p w:rsidR="00000000" w:rsidDel="00000000" w:rsidP="00000000" w:rsidRDefault="00000000" w:rsidRPr="00000000" w14:paraId="0000004A">
      <w:pPr>
        <w:jc w:val="both"/>
        <w:rPr>
          <w:rFonts w:ascii="Arial" w:cs="Arial" w:eastAsia="Arial" w:hAnsi="Arial"/>
          <w:color w:val="ee0000"/>
        </w:rPr>
      </w:pPr>
      <w:r w:rsidDel="00000000" w:rsidR="00000000" w:rsidRPr="00000000">
        <w:rPr>
          <w:rFonts w:ascii="Arial" w:cs="Arial" w:eastAsia="Arial" w:hAnsi="Arial"/>
          <w:color w:val="ee0000"/>
          <w:rtl w:val="0"/>
        </w:rPr>
        <w:t xml:space="preserve">El ROM termina convertido en una sustancia similar al compost. No se necesita una tecnología sofisticada de alto nivel para hacer funcionar una instalación de este tipo y, por lo tanto, es adecuada para entornos de ingresos bajos y medios. Las larvas pueden utilizarse como sustituto (parcial) de la harina de pescado en la alimentación animal. Otros posibles productos a explorar son la producción de biodiésel a partir de las larvas o el uso de la quitina y el aceite.</w:t>
      </w:r>
    </w:p>
    <w:p w:rsidR="00000000" w:rsidDel="00000000" w:rsidP="00000000" w:rsidRDefault="00000000" w:rsidRPr="00000000" w14:paraId="0000004B">
      <w:pPr>
        <w:jc w:val="both"/>
        <w:rPr>
          <w:rFonts w:ascii="Arial" w:cs="Arial" w:eastAsia="Arial" w:hAnsi="Arial"/>
          <w:color w:val="ee0000"/>
        </w:rPr>
      </w:pPr>
      <w:r w:rsidDel="00000000" w:rsidR="00000000" w:rsidRPr="00000000">
        <w:rPr>
          <w:rtl w:val="0"/>
        </w:rPr>
      </w:r>
    </w:p>
    <w:p w:rsidR="00000000" w:rsidDel="00000000" w:rsidP="00000000" w:rsidRDefault="00000000" w:rsidRPr="00000000" w14:paraId="0000004C">
      <w:pPr>
        <w:jc w:val="both"/>
        <w:rPr>
          <w:rFonts w:ascii="Arial" w:cs="Arial" w:eastAsia="Arial" w:hAnsi="Arial"/>
          <w:color w:val="ee0000"/>
        </w:rPr>
      </w:pPr>
      <w:r w:rsidDel="00000000" w:rsidR="00000000" w:rsidRPr="00000000">
        <w:rPr>
          <w:rFonts w:ascii="Arial" w:cs="Arial" w:eastAsia="Arial" w:hAnsi="Arial"/>
          <w:color w:val="ee0000"/>
          <w:rtl w:val="0"/>
        </w:rPr>
        <w:t xml:space="preserve">El residuo, por otra parte, sigue conteniendo valiosos nutrientes y podría utilizarse como enmienda del suelo. Sin embargo, debido al corto tiempo de procesamiento, el residuo necesita someterse a una fase de maduración para evitar el agotamiento del oxígeno en el suelo que inhibe la germinación de las semillas o suprime el crecimiento de las raíces y las plantas.</w:t>
      </w:r>
    </w:p>
    <w:p w:rsidR="00000000" w:rsidDel="00000000" w:rsidP="00000000" w:rsidRDefault="00000000" w:rsidRPr="00000000" w14:paraId="0000004D">
      <w:pPr>
        <w:jc w:val="both"/>
        <w:rPr>
          <w:rFonts w:ascii="Arial" w:cs="Arial" w:eastAsia="Arial" w:hAnsi="Arial"/>
          <w:color w:val="ee0000"/>
        </w:rPr>
      </w:pPr>
      <w:r w:rsidDel="00000000" w:rsidR="00000000" w:rsidRPr="00000000">
        <w:rPr>
          <w:rtl w:val="0"/>
        </w:rPr>
      </w:r>
    </w:p>
    <w:p w:rsidR="00000000" w:rsidDel="00000000" w:rsidP="00000000" w:rsidRDefault="00000000" w:rsidRPr="00000000" w14:paraId="0000004E">
      <w:pPr>
        <w:jc w:val="both"/>
        <w:rPr>
          <w:rFonts w:ascii="Arial" w:cs="Arial" w:eastAsia="Arial" w:hAnsi="Arial"/>
          <w:color w:val="ee0000"/>
          <w:u w:val="single"/>
        </w:rPr>
      </w:pPr>
      <w:r w:rsidDel="00000000" w:rsidR="00000000" w:rsidRPr="00000000">
        <w:rPr>
          <w:rFonts w:ascii="Arial" w:cs="Arial" w:eastAsia="Arial" w:hAnsi="Arial"/>
          <w:color w:val="ee0000"/>
          <w:u w:val="single"/>
          <w:rtl w:val="0"/>
        </w:rPr>
        <w:t xml:space="preserve">I.4. Digestión Anaerobia (DA)</w:t>
      </w:r>
    </w:p>
    <w:p w:rsidR="00000000" w:rsidDel="00000000" w:rsidP="00000000" w:rsidRDefault="00000000" w:rsidRPr="00000000" w14:paraId="0000004F">
      <w:pPr>
        <w:jc w:val="both"/>
        <w:rPr>
          <w:rFonts w:ascii="Arial" w:cs="Arial" w:eastAsia="Arial" w:hAnsi="Arial"/>
          <w:color w:val="ee0000"/>
        </w:rPr>
      </w:pPr>
      <w:r w:rsidDel="00000000" w:rsidR="00000000" w:rsidRPr="00000000">
        <w:rPr>
          <w:rFonts w:ascii="Arial" w:cs="Arial" w:eastAsia="Arial" w:hAnsi="Arial"/>
          <w:color w:val="ee0000"/>
          <w:rtl w:val="0"/>
        </w:rPr>
        <w:t xml:space="preserve">La digestión anaerobia (también denominada biodigestión o biometanización) consiste en tratar de forma controlada los residuos orgánicos en ausencia de oxígeno. Se trata de un proceso complejo en el cual intervienen diferentes grupos de microorganismos. La materia orgánica se descompone en compuestos más sencillos que son transformados en ácidos grasos volátiles, que son los principales intermediarios y moduladores del proceso. Estos ácidos son consumidos por los microorganismos metanogénicos que producen metano y dióxido de carbono, los principales componentes del biogás. Este proceso se lleva a cabo en reactores a prueba de aire, comúnmente llamados digestores.</w:t>
      </w:r>
    </w:p>
    <w:p w:rsidR="00000000" w:rsidDel="00000000" w:rsidP="00000000" w:rsidRDefault="00000000" w:rsidRPr="00000000" w14:paraId="00000050">
      <w:pPr>
        <w:jc w:val="both"/>
        <w:rPr>
          <w:rFonts w:ascii="Arial" w:cs="Arial" w:eastAsia="Arial" w:hAnsi="Arial"/>
          <w:color w:val="ee0000"/>
        </w:rPr>
      </w:pPr>
      <w:r w:rsidDel="00000000" w:rsidR="00000000" w:rsidRPr="00000000">
        <w:rPr>
          <w:rtl w:val="0"/>
        </w:rPr>
      </w:r>
    </w:p>
    <w:p w:rsidR="00000000" w:rsidDel="00000000" w:rsidP="00000000" w:rsidRDefault="00000000" w:rsidRPr="00000000" w14:paraId="00000051">
      <w:pPr>
        <w:jc w:val="both"/>
        <w:rPr>
          <w:rFonts w:ascii="Arial" w:cs="Arial" w:eastAsia="Arial" w:hAnsi="Arial"/>
          <w:color w:val="ee0000"/>
        </w:rPr>
      </w:pPr>
      <w:r w:rsidDel="00000000" w:rsidR="00000000" w:rsidRPr="00000000">
        <w:rPr>
          <w:rFonts w:ascii="Arial" w:cs="Arial" w:eastAsia="Arial" w:hAnsi="Arial"/>
          <w:color w:val="ee0000"/>
          <w:rtl w:val="0"/>
        </w:rPr>
        <w:t xml:space="preserve">Hay muchos tipos de plantas de biodigestión. Las tecnologías de digestión anaerobia se pueden clasificar principalmente en las siguientes categorías: (1) Sistemas húmedos o sistemas secos, dependiendo del contenido de sólidos totales presentes en el sustrato (2) Sistemas continuos o por lote, dependiendo del tipo de alimentación (3) Sistemas mesofílicos o termofílicos, dependiendo de  la temperatura del proceso y (4) Sistemas de una etapa o multi etapas, dependiendo del número de etapas del proceso.</w:t>
      </w:r>
    </w:p>
    <w:p w:rsidR="00000000" w:rsidDel="00000000" w:rsidP="00000000" w:rsidRDefault="00000000" w:rsidRPr="00000000" w14:paraId="00000052">
      <w:pPr>
        <w:jc w:val="both"/>
        <w:rPr>
          <w:rFonts w:ascii="Arial" w:cs="Arial" w:eastAsia="Arial" w:hAnsi="Arial"/>
          <w:color w:val="ee0000"/>
        </w:rPr>
      </w:pPr>
      <w:r w:rsidDel="00000000" w:rsidR="00000000" w:rsidRPr="00000000">
        <w:rPr>
          <w:rtl w:val="0"/>
        </w:rPr>
      </w:r>
    </w:p>
    <w:p w:rsidR="00000000" w:rsidDel="00000000" w:rsidP="00000000" w:rsidRDefault="00000000" w:rsidRPr="00000000" w14:paraId="00000053">
      <w:pPr>
        <w:jc w:val="both"/>
        <w:rPr>
          <w:rFonts w:ascii="Arial" w:cs="Arial" w:eastAsia="Arial" w:hAnsi="Arial"/>
          <w:color w:val="ee0000"/>
        </w:rPr>
      </w:pPr>
      <w:r w:rsidDel="00000000" w:rsidR="00000000" w:rsidRPr="00000000">
        <w:rPr>
          <w:rFonts w:ascii="Arial" w:cs="Arial" w:eastAsia="Arial" w:hAnsi="Arial"/>
          <w:color w:val="ee0000"/>
          <w:rtl w:val="0"/>
        </w:rPr>
        <w:t xml:space="preserve">Se obtienen 2 productos del proceso: biogás y digestato. El biogás es un gas rico en metano (CH4) en una concentración de entre 55% y 70% en volumen. Casi todo lo demás corresponde a dióxido de carbono (CO2), pero suele tener otros compuestos como trazas de nitrógeno (N2), hidrógeno (H2), sulfuro de hidrógeno (H2S), vapor de agua y amoniaco (NH3), los cuales actúan como impurezas y puede ser necesario retirarlos, dependiendo del uso final.</w:t>
      </w:r>
    </w:p>
    <w:p w:rsidR="00000000" w:rsidDel="00000000" w:rsidP="00000000" w:rsidRDefault="00000000" w:rsidRPr="00000000" w14:paraId="00000054">
      <w:pPr>
        <w:jc w:val="both"/>
        <w:rPr>
          <w:rFonts w:ascii="Arial" w:cs="Arial" w:eastAsia="Arial" w:hAnsi="Arial"/>
          <w:color w:val="ee0000"/>
        </w:rPr>
      </w:pPr>
      <w:r w:rsidDel="00000000" w:rsidR="00000000" w:rsidRPr="00000000">
        <w:rPr>
          <w:rtl w:val="0"/>
        </w:rPr>
      </w:r>
    </w:p>
    <w:p w:rsidR="00000000" w:rsidDel="00000000" w:rsidP="00000000" w:rsidRDefault="00000000" w:rsidRPr="00000000" w14:paraId="00000055">
      <w:pPr>
        <w:jc w:val="both"/>
        <w:rPr>
          <w:rFonts w:ascii="Arial" w:cs="Arial" w:eastAsia="Arial" w:hAnsi="Arial"/>
          <w:color w:val="ee0000"/>
        </w:rPr>
      </w:pPr>
      <w:r w:rsidDel="00000000" w:rsidR="00000000" w:rsidRPr="00000000">
        <w:rPr>
          <w:rFonts w:ascii="Arial" w:cs="Arial" w:eastAsia="Arial" w:hAnsi="Arial"/>
          <w:color w:val="ee0000"/>
          <w:rtl w:val="0"/>
        </w:rPr>
        <w:t xml:space="preserve">En promedio, la producción de biogás en las plantas de digestión anaerobia de ROM se estima en 100m3 de biogás por tonelada de residuo tratada, lo cual puede variar dependiendo principalmente de las características de los residuos de entrada (contenido de sólidos volátiles) y de las condiciones del proceso. El metano es el componente energético útil en el biogás, teniendo este último un poder calorífico variable. En promedio, 1m3 de biogás contiene 6 kWh (21.6 MJ) de energía.</w:t>
      </w:r>
    </w:p>
    <w:p w:rsidR="00000000" w:rsidDel="00000000" w:rsidP="00000000" w:rsidRDefault="00000000" w:rsidRPr="00000000" w14:paraId="00000056">
      <w:pPr>
        <w:jc w:val="both"/>
        <w:rPr>
          <w:rFonts w:ascii="Arial" w:cs="Arial" w:eastAsia="Arial" w:hAnsi="Arial"/>
          <w:color w:val="ee0000"/>
        </w:rPr>
      </w:pPr>
      <w:r w:rsidDel="00000000" w:rsidR="00000000" w:rsidRPr="00000000">
        <w:rPr>
          <w:rtl w:val="0"/>
        </w:rPr>
      </w:r>
    </w:p>
    <w:p w:rsidR="00000000" w:rsidDel="00000000" w:rsidP="00000000" w:rsidRDefault="00000000" w:rsidRPr="00000000" w14:paraId="00000057">
      <w:pPr>
        <w:jc w:val="both"/>
        <w:rPr>
          <w:rFonts w:ascii="Arial" w:cs="Arial" w:eastAsia="Arial" w:hAnsi="Arial"/>
          <w:color w:val="ee0000"/>
        </w:rPr>
      </w:pPr>
      <w:r w:rsidDel="00000000" w:rsidR="00000000" w:rsidRPr="00000000">
        <w:rPr>
          <w:rFonts w:ascii="Arial" w:cs="Arial" w:eastAsia="Arial" w:hAnsi="Arial"/>
          <w:color w:val="ee0000"/>
          <w:rtl w:val="0"/>
        </w:rPr>
        <w:t xml:space="preserve">Comúnmente, el biogás producido tiene los siguientes usos:</w:t>
      </w:r>
    </w:p>
    <w:p w:rsidR="00000000" w:rsidDel="00000000" w:rsidP="00000000" w:rsidRDefault="00000000" w:rsidRPr="00000000" w14:paraId="00000058">
      <w:pPr>
        <w:jc w:val="both"/>
        <w:rPr>
          <w:rFonts w:ascii="Arial" w:cs="Arial" w:eastAsia="Arial" w:hAnsi="Arial"/>
          <w:color w:val="ee0000"/>
        </w:rPr>
      </w:pPr>
      <w:r w:rsidDel="00000000" w:rsidR="00000000" w:rsidRPr="00000000">
        <w:rPr>
          <w:rtl w:val="0"/>
        </w:rPr>
      </w:r>
    </w:p>
    <w:p w:rsidR="00000000" w:rsidDel="00000000" w:rsidP="00000000" w:rsidRDefault="00000000" w:rsidRPr="00000000" w14:paraId="00000059">
      <w:pPr>
        <w:jc w:val="both"/>
        <w:rPr>
          <w:rFonts w:ascii="Arial" w:cs="Arial" w:eastAsia="Arial" w:hAnsi="Arial"/>
          <w:color w:val="ee0000"/>
        </w:rPr>
      </w:pPr>
      <w:r w:rsidDel="00000000" w:rsidR="00000000" w:rsidRPr="00000000">
        <w:rPr>
          <w:rFonts w:ascii="Arial" w:cs="Arial" w:eastAsia="Arial" w:hAnsi="Arial"/>
          <w:color w:val="ee0000"/>
          <w:rtl w:val="0"/>
        </w:rPr>
        <w:t xml:space="preserve">• Generación de energía eléctrica y térmica. Generalmente la electricidad se consume en la propia planta y/o se exporta a la red eléctrica o para su uso por consumidores cercanos, mientras que el calor se aprovecha en el propio proceso de producción del biogás y también se puede exportar para su uso por consumidores cercanos. La generación de energía eléctrica es de aproximadamente 200 kWh/t52. Esto representa una potencia instalada de aproximadamente 0.50 MW para una planta con capacidad de tratamiento de 20,000 toneladas por año (tpa).</w:t>
      </w:r>
    </w:p>
    <w:p w:rsidR="00000000" w:rsidDel="00000000" w:rsidP="00000000" w:rsidRDefault="00000000" w:rsidRPr="00000000" w14:paraId="0000005A">
      <w:pPr>
        <w:jc w:val="both"/>
        <w:rPr>
          <w:rFonts w:ascii="Arial" w:cs="Arial" w:eastAsia="Arial" w:hAnsi="Arial"/>
          <w:color w:val="ee0000"/>
        </w:rPr>
      </w:pPr>
      <w:r w:rsidDel="00000000" w:rsidR="00000000" w:rsidRPr="00000000">
        <w:rPr>
          <w:rFonts w:ascii="Arial" w:cs="Arial" w:eastAsia="Arial" w:hAnsi="Arial"/>
          <w:color w:val="ee0000"/>
          <w:rtl w:val="0"/>
        </w:rPr>
        <w:t xml:space="preserve">• Generación de biometano mediante un proceso de enriquecimiento (upgrading) del biogás. El biometano se puede usar en reemplazo del gas natural, mayormente mediante inyección directa a la línea de gas o en vehículos. La generación de biometano suele ser de aproximadamente 60% del biogás producido.</w:t>
      </w:r>
    </w:p>
    <w:p w:rsidR="00000000" w:rsidDel="00000000" w:rsidP="00000000" w:rsidRDefault="00000000" w:rsidRPr="00000000" w14:paraId="0000005B">
      <w:pPr>
        <w:jc w:val="both"/>
        <w:rPr>
          <w:rFonts w:ascii="Arial" w:cs="Arial" w:eastAsia="Arial" w:hAnsi="Arial"/>
          <w:color w:val="ee0000"/>
        </w:rPr>
      </w:pPr>
      <w:r w:rsidDel="00000000" w:rsidR="00000000" w:rsidRPr="00000000">
        <w:rPr>
          <w:rtl w:val="0"/>
        </w:rPr>
      </w:r>
    </w:p>
    <w:p w:rsidR="00000000" w:rsidDel="00000000" w:rsidP="00000000" w:rsidRDefault="00000000" w:rsidRPr="00000000" w14:paraId="0000005C">
      <w:pPr>
        <w:jc w:val="both"/>
        <w:rPr>
          <w:rFonts w:ascii="Arial" w:cs="Arial" w:eastAsia="Arial" w:hAnsi="Arial"/>
          <w:color w:val="ee0000"/>
        </w:rPr>
      </w:pPr>
      <w:r w:rsidDel="00000000" w:rsidR="00000000" w:rsidRPr="00000000">
        <w:rPr>
          <w:rFonts w:ascii="Arial" w:cs="Arial" w:eastAsia="Arial" w:hAnsi="Arial"/>
          <w:color w:val="ee0000"/>
          <w:rtl w:val="0"/>
        </w:rPr>
        <w:t xml:space="preserve">El otro producto, el digestato, es un biofertilizante que se puede utilizar como aditivo o estabilizador de suelos en la agricultura, en mezclado de tierras, así́ como en la horticultura y el paisajismo. Se recomienda deshidratar y estabilizar el digestato a través de procesos como el compostaje antes de su utilización, como mínimo durante cuatro semanas, para asegurar su higienización (eliminación de patógenos).</w:t>
      </w:r>
    </w:p>
    <w:p w:rsidR="00000000" w:rsidDel="00000000" w:rsidP="00000000" w:rsidRDefault="00000000" w:rsidRPr="00000000" w14:paraId="0000005D">
      <w:pPr>
        <w:jc w:val="both"/>
        <w:rPr>
          <w:rFonts w:ascii="Arial" w:cs="Arial" w:eastAsia="Arial" w:hAnsi="Arial"/>
          <w:color w:val="ee0000"/>
        </w:rPr>
      </w:pPr>
      <w:r w:rsidDel="00000000" w:rsidR="00000000" w:rsidRPr="00000000">
        <w:rPr>
          <w:rtl w:val="0"/>
        </w:rPr>
      </w:r>
    </w:p>
    <w:p w:rsidR="00000000" w:rsidDel="00000000" w:rsidP="00000000" w:rsidRDefault="00000000" w:rsidRPr="00000000" w14:paraId="0000005E">
      <w:pPr>
        <w:jc w:val="both"/>
        <w:rPr>
          <w:rFonts w:ascii="Arial" w:cs="Arial" w:eastAsia="Arial" w:hAnsi="Arial"/>
          <w:color w:val="ee0000"/>
        </w:rPr>
      </w:pPr>
      <w:r w:rsidDel="00000000" w:rsidR="00000000" w:rsidRPr="00000000">
        <w:rPr>
          <w:rFonts w:ascii="Arial" w:cs="Arial" w:eastAsia="Arial" w:hAnsi="Arial"/>
          <w:color w:val="ee0000"/>
          <w:rtl w:val="0"/>
        </w:rPr>
        <w:t xml:space="preserve">La DA es un proceso tecnológicamente más complejo y fácil de perturbar que los</w:t>
      </w:r>
    </w:p>
    <w:p w:rsidR="00000000" w:rsidDel="00000000" w:rsidP="00000000" w:rsidRDefault="00000000" w:rsidRPr="00000000" w14:paraId="0000005F">
      <w:pPr>
        <w:jc w:val="both"/>
        <w:rPr>
          <w:rFonts w:ascii="Arial" w:cs="Arial" w:eastAsia="Arial" w:hAnsi="Arial"/>
          <w:color w:val="ee0000"/>
        </w:rPr>
      </w:pPr>
      <w:r w:rsidDel="00000000" w:rsidR="00000000" w:rsidRPr="00000000">
        <w:rPr>
          <w:rFonts w:ascii="Arial" w:cs="Arial" w:eastAsia="Arial" w:hAnsi="Arial"/>
          <w:color w:val="ee0000"/>
          <w:rtl w:val="0"/>
        </w:rPr>
        <w:t xml:space="preserve">tratamientos biológicos aeróbicos (ej. compostaje, lombricultura). Cambios en las</w:t>
      </w:r>
    </w:p>
    <w:p w:rsidR="00000000" w:rsidDel="00000000" w:rsidP="00000000" w:rsidRDefault="00000000" w:rsidRPr="00000000" w14:paraId="00000060">
      <w:pPr>
        <w:jc w:val="both"/>
        <w:rPr>
          <w:rFonts w:ascii="Arial" w:cs="Arial" w:eastAsia="Arial" w:hAnsi="Arial"/>
          <w:color w:val="ee0000"/>
        </w:rPr>
      </w:pPr>
      <w:r w:rsidDel="00000000" w:rsidR="00000000" w:rsidRPr="00000000">
        <w:rPr>
          <w:rFonts w:ascii="Arial" w:cs="Arial" w:eastAsia="Arial" w:hAnsi="Arial"/>
          <w:color w:val="ee0000"/>
          <w:rtl w:val="0"/>
        </w:rPr>
        <w:t xml:space="preserve">condiciones circundantes, los residuos de entrada o los niveles de sustancias inhibidoras tóxicas pueden interrumpir o detener fácilmente el proceso anaerobio. Por eso, la DA ha venido siendo utilizada principalmente para tratar residuos de actividades agrícolas, ya que estas corrientes son más homogéneas, están mejor definidas y son más limpias.</w:t>
      </w:r>
    </w:p>
    <w:p w:rsidR="00000000" w:rsidDel="00000000" w:rsidP="00000000" w:rsidRDefault="00000000" w:rsidRPr="00000000" w14:paraId="00000061">
      <w:pPr>
        <w:jc w:val="both"/>
        <w:rPr>
          <w:rFonts w:ascii="Arial" w:cs="Arial" w:eastAsia="Arial" w:hAnsi="Arial"/>
          <w:color w:val="ee0000"/>
        </w:rPr>
      </w:pPr>
      <w:r w:rsidDel="00000000" w:rsidR="00000000" w:rsidRPr="00000000">
        <w:rPr>
          <w:rtl w:val="0"/>
        </w:rPr>
      </w:r>
    </w:p>
    <w:p w:rsidR="00000000" w:rsidDel="00000000" w:rsidP="00000000" w:rsidRDefault="00000000" w:rsidRPr="00000000" w14:paraId="00000062">
      <w:pPr>
        <w:jc w:val="both"/>
        <w:rPr>
          <w:rFonts w:ascii="Arial" w:cs="Arial" w:eastAsia="Arial" w:hAnsi="Arial"/>
          <w:color w:val="ee0000"/>
        </w:rPr>
      </w:pPr>
      <w:r w:rsidDel="00000000" w:rsidR="00000000" w:rsidRPr="00000000">
        <w:rPr>
          <w:rFonts w:ascii="Arial" w:cs="Arial" w:eastAsia="Arial" w:hAnsi="Arial"/>
          <w:color w:val="ee0000"/>
          <w:rtl w:val="0"/>
        </w:rPr>
        <w:t xml:space="preserve">Al mismo tiempo, esta tecnología tiene ventajas en comparación con los tratamientos biológicos aeróbicos, tales como:</w:t>
      </w:r>
    </w:p>
    <w:p w:rsidR="00000000" w:rsidDel="00000000" w:rsidP="00000000" w:rsidRDefault="00000000" w:rsidRPr="00000000" w14:paraId="00000063">
      <w:pPr>
        <w:jc w:val="both"/>
        <w:rPr>
          <w:rFonts w:ascii="Arial" w:cs="Arial" w:eastAsia="Arial" w:hAnsi="Arial"/>
          <w:color w:val="ee0000"/>
        </w:rPr>
      </w:pPr>
      <w:r w:rsidDel="00000000" w:rsidR="00000000" w:rsidRPr="00000000">
        <w:rPr>
          <w:rFonts w:ascii="Arial" w:cs="Arial" w:eastAsia="Arial" w:hAnsi="Arial"/>
          <w:color w:val="ee0000"/>
          <w:rtl w:val="0"/>
        </w:rPr>
        <w:t xml:space="preserve">• Menor ocupación de espacio. El requerimiento de área para la DA se encuentra</w:t>
      </w:r>
    </w:p>
    <w:p w:rsidR="00000000" w:rsidDel="00000000" w:rsidP="00000000" w:rsidRDefault="00000000" w:rsidRPr="00000000" w14:paraId="00000064">
      <w:pPr>
        <w:jc w:val="both"/>
        <w:rPr>
          <w:rFonts w:ascii="Arial" w:cs="Arial" w:eastAsia="Arial" w:hAnsi="Arial"/>
          <w:color w:val="ee0000"/>
        </w:rPr>
      </w:pPr>
      <w:r w:rsidDel="00000000" w:rsidR="00000000" w:rsidRPr="00000000">
        <w:rPr>
          <w:rFonts w:ascii="Arial" w:cs="Arial" w:eastAsia="Arial" w:hAnsi="Arial"/>
          <w:color w:val="ee0000"/>
          <w:rtl w:val="0"/>
        </w:rPr>
        <w:t xml:space="preserve">entre 0.10 y 0.25 m2/tpa, mientras que para el compostaje se requieren entre 0.4 y 1.0 m2/tpa, dependiendo del sistema que se utilice.</w:t>
      </w:r>
    </w:p>
    <w:p w:rsidR="00000000" w:rsidDel="00000000" w:rsidP="00000000" w:rsidRDefault="00000000" w:rsidRPr="00000000" w14:paraId="00000065">
      <w:pPr>
        <w:jc w:val="both"/>
        <w:rPr>
          <w:rFonts w:ascii="Arial" w:cs="Arial" w:eastAsia="Arial" w:hAnsi="Arial"/>
          <w:color w:val="ee0000"/>
        </w:rPr>
      </w:pPr>
      <w:r w:rsidDel="00000000" w:rsidR="00000000" w:rsidRPr="00000000">
        <w:rPr>
          <w:rFonts w:ascii="Arial" w:cs="Arial" w:eastAsia="Arial" w:hAnsi="Arial"/>
          <w:color w:val="ee0000"/>
          <w:rtl w:val="0"/>
        </w:rPr>
        <w:t xml:space="preserve">• Generación de energía renovable.</w:t>
      </w:r>
    </w:p>
    <w:p w:rsidR="00000000" w:rsidDel="00000000" w:rsidP="00000000" w:rsidRDefault="00000000" w:rsidRPr="00000000" w14:paraId="00000066">
      <w:pPr>
        <w:jc w:val="both"/>
        <w:rPr>
          <w:rFonts w:ascii="Arial" w:cs="Arial" w:eastAsia="Arial" w:hAnsi="Arial"/>
          <w:color w:val="ee0000"/>
        </w:rPr>
      </w:pPr>
      <w:r w:rsidDel="00000000" w:rsidR="00000000" w:rsidRPr="00000000">
        <w:rPr>
          <w:rFonts w:ascii="Arial" w:cs="Arial" w:eastAsia="Arial" w:hAnsi="Arial"/>
          <w:color w:val="ee0000"/>
          <w:rtl w:val="0"/>
        </w:rPr>
        <w:t xml:space="preserve">• Menor tiempo de descomposición de los residuos.</w:t>
      </w:r>
    </w:p>
    <w:p w:rsidR="00000000" w:rsidDel="00000000" w:rsidP="00000000" w:rsidRDefault="00000000" w:rsidRPr="00000000" w14:paraId="00000067">
      <w:pPr>
        <w:jc w:val="both"/>
        <w:rPr>
          <w:rFonts w:ascii="Arial" w:cs="Arial" w:eastAsia="Arial" w:hAnsi="Arial"/>
          <w:color w:val="ee0000"/>
        </w:rPr>
      </w:pPr>
      <w:r w:rsidDel="00000000" w:rsidR="00000000" w:rsidRPr="00000000">
        <w:rPr>
          <w:rtl w:val="0"/>
        </w:rPr>
      </w:r>
    </w:p>
    <w:p w:rsidR="00000000" w:rsidDel="00000000" w:rsidP="00000000" w:rsidRDefault="00000000" w:rsidRPr="00000000" w14:paraId="00000068">
      <w:pPr>
        <w:jc w:val="both"/>
        <w:rPr>
          <w:rFonts w:ascii="Arial" w:cs="Arial" w:eastAsia="Arial" w:hAnsi="Arial"/>
          <w:color w:val="ee0000"/>
          <w:u w:val="single"/>
        </w:rPr>
      </w:pPr>
      <w:r w:rsidDel="00000000" w:rsidR="00000000" w:rsidRPr="00000000">
        <w:rPr>
          <w:rFonts w:ascii="Arial" w:cs="Arial" w:eastAsia="Arial" w:hAnsi="Arial"/>
          <w:color w:val="ee0000"/>
          <w:u w:val="single"/>
          <w:rtl w:val="0"/>
        </w:rPr>
        <w:t xml:space="preserve">I.5. Fermentación</w:t>
      </w:r>
    </w:p>
    <w:p w:rsidR="00000000" w:rsidDel="00000000" w:rsidP="00000000" w:rsidRDefault="00000000" w:rsidRPr="00000000" w14:paraId="00000069">
      <w:pPr>
        <w:jc w:val="both"/>
        <w:rPr>
          <w:rFonts w:ascii="Arial" w:cs="Arial" w:eastAsia="Arial" w:hAnsi="Arial"/>
          <w:color w:val="ee0000"/>
        </w:rPr>
      </w:pPr>
      <w:r w:rsidDel="00000000" w:rsidR="00000000" w:rsidRPr="00000000">
        <w:rPr>
          <w:rFonts w:ascii="Arial" w:cs="Arial" w:eastAsia="Arial" w:hAnsi="Arial"/>
          <w:color w:val="ee0000"/>
          <w:rtl w:val="0"/>
        </w:rPr>
        <w:t xml:space="preserve">La fermentación es el paso clave del proceso de producción de bioetanol, el principal biocombustible del mercado mundial63. El proceso utiliza fuentes de carbohidratos provenientes de (1) materias primas de azúcares simples: la caña de azúcar, la remolacha azucarera, el sorgo dulce, la melaza y las frutas, (2) materiales amiláceos: granos como el maíz, el trigo, el arroz, la papa, la yuca, y (3) biomasa lignocelulósica: como materiales leñosos, paja, residuos agrícolas y residuos de cultivos. Los ROM también se consideran sustratos adecuados para la producción de etanol.</w:t>
      </w:r>
    </w:p>
    <w:p w:rsidR="00000000" w:rsidDel="00000000" w:rsidP="00000000" w:rsidRDefault="00000000" w:rsidRPr="00000000" w14:paraId="0000006A">
      <w:pPr>
        <w:jc w:val="both"/>
        <w:rPr>
          <w:rFonts w:ascii="Arial" w:cs="Arial" w:eastAsia="Arial" w:hAnsi="Arial"/>
          <w:color w:val="ee0000"/>
        </w:rPr>
      </w:pPr>
      <w:r w:rsidDel="00000000" w:rsidR="00000000" w:rsidRPr="00000000">
        <w:rPr>
          <w:rtl w:val="0"/>
        </w:rPr>
      </w:r>
    </w:p>
    <w:p w:rsidR="00000000" w:rsidDel="00000000" w:rsidP="00000000" w:rsidRDefault="00000000" w:rsidRPr="00000000" w14:paraId="0000006B">
      <w:pPr>
        <w:jc w:val="both"/>
        <w:rPr>
          <w:rFonts w:ascii="Arial" w:cs="Arial" w:eastAsia="Arial" w:hAnsi="Arial"/>
          <w:color w:val="ee0000"/>
        </w:rPr>
      </w:pPr>
      <w:r w:rsidDel="00000000" w:rsidR="00000000" w:rsidRPr="00000000">
        <w:rPr>
          <w:rFonts w:ascii="Arial" w:cs="Arial" w:eastAsia="Arial" w:hAnsi="Arial"/>
          <w:color w:val="ee0000"/>
          <w:rtl w:val="0"/>
        </w:rPr>
        <w:t xml:space="preserve">No obstante, aunque las tecnologías para producir etanol a partir de azúcar o almidón están bien establecidas, las tecnologías que utilizan ROM siguen en desarrollo en todo el mundo y los costos de procesamiento son muy elevados.</w:t>
      </w:r>
    </w:p>
    <w:p w:rsidR="00000000" w:rsidDel="00000000" w:rsidP="00000000" w:rsidRDefault="00000000" w:rsidRPr="00000000" w14:paraId="0000006C">
      <w:pPr>
        <w:jc w:val="both"/>
        <w:rPr>
          <w:rFonts w:ascii="Arial" w:cs="Arial" w:eastAsia="Arial" w:hAnsi="Arial"/>
          <w:color w:val="ee0000"/>
        </w:rPr>
      </w:pPr>
      <w:r w:rsidDel="00000000" w:rsidR="00000000" w:rsidRPr="00000000">
        <w:rPr>
          <w:rtl w:val="0"/>
        </w:rPr>
      </w:r>
    </w:p>
    <w:p w:rsidR="00000000" w:rsidDel="00000000" w:rsidP="00000000" w:rsidRDefault="00000000" w:rsidRPr="00000000" w14:paraId="0000006D">
      <w:pPr>
        <w:jc w:val="both"/>
        <w:rPr>
          <w:rFonts w:ascii="Arial" w:cs="Arial" w:eastAsia="Arial" w:hAnsi="Arial"/>
          <w:color w:val="215e99"/>
        </w:rPr>
      </w:pPr>
      <w:r w:rsidDel="00000000" w:rsidR="00000000" w:rsidRPr="00000000">
        <w:rPr>
          <w:rFonts w:ascii="Arial" w:cs="Arial" w:eastAsia="Arial" w:hAnsi="Arial"/>
          <w:color w:val="215e99"/>
          <w:rtl w:val="0"/>
        </w:rPr>
        <w:t xml:space="preserve">II. Tratamientos térmicos</w:t>
      </w:r>
    </w:p>
    <w:p w:rsidR="00000000" w:rsidDel="00000000" w:rsidP="00000000" w:rsidRDefault="00000000" w:rsidRPr="00000000" w14:paraId="0000006E">
      <w:pPr>
        <w:jc w:val="both"/>
        <w:rPr>
          <w:rFonts w:ascii="Arial" w:cs="Arial" w:eastAsia="Arial" w:hAnsi="Arial"/>
          <w:color w:val="215e99"/>
        </w:rPr>
      </w:pPr>
      <w:r w:rsidDel="00000000" w:rsidR="00000000" w:rsidRPr="00000000">
        <w:rPr>
          <w:rtl w:val="0"/>
        </w:rPr>
      </w:r>
    </w:p>
    <w:p w:rsidR="00000000" w:rsidDel="00000000" w:rsidP="00000000" w:rsidRDefault="00000000" w:rsidRPr="00000000" w14:paraId="0000006F">
      <w:pPr>
        <w:jc w:val="both"/>
        <w:rPr>
          <w:rFonts w:ascii="Arial" w:cs="Arial" w:eastAsia="Arial" w:hAnsi="Arial"/>
          <w:color w:val="215e99"/>
        </w:rPr>
      </w:pPr>
      <w:r w:rsidDel="00000000" w:rsidR="00000000" w:rsidRPr="00000000">
        <w:rPr>
          <w:rFonts w:ascii="Arial" w:cs="Arial" w:eastAsia="Arial" w:hAnsi="Arial"/>
          <w:color w:val="215e99"/>
          <w:rtl w:val="0"/>
        </w:rPr>
        <w:t xml:space="preserve">Los procesos de conversión termoquímica aplican calor para inducir reacciones químicas como medio para extraer y crear productos con buena capacidad de combustión. Estos procesos incluyen la pirólisis y la gasificación. Los dos procesos difieren en cuanto a la temperatura, la velocidad de calentamiento y el nivel de oxígeno presente durante el proceso.</w:t>
      </w:r>
    </w:p>
    <w:p w:rsidR="00000000" w:rsidDel="00000000" w:rsidP="00000000" w:rsidRDefault="00000000" w:rsidRPr="00000000" w14:paraId="00000070">
      <w:pPr>
        <w:jc w:val="both"/>
        <w:rPr>
          <w:rFonts w:ascii="Arial" w:cs="Arial" w:eastAsia="Arial" w:hAnsi="Arial"/>
          <w:color w:val="215e99"/>
        </w:rPr>
      </w:pPr>
      <w:r w:rsidDel="00000000" w:rsidR="00000000" w:rsidRPr="00000000">
        <w:rPr>
          <w:rtl w:val="0"/>
        </w:rPr>
      </w:r>
    </w:p>
    <w:p w:rsidR="00000000" w:rsidDel="00000000" w:rsidP="00000000" w:rsidRDefault="00000000" w:rsidRPr="00000000" w14:paraId="00000071">
      <w:pPr>
        <w:jc w:val="both"/>
        <w:rPr>
          <w:rFonts w:ascii="Arial" w:cs="Arial" w:eastAsia="Arial" w:hAnsi="Arial"/>
          <w:color w:val="215e99"/>
        </w:rPr>
      </w:pPr>
      <w:r w:rsidDel="00000000" w:rsidR="00000000" w:rsidRPr="00000000">
        <w:rPr>
          <w:rFonts w:ascii="Arial" w:cs="Arial" w:eastAsia="Arial" w:hAnsi="Arial"/>
          <w:color w:val="215e99"/>
          <w:rtl w:val="0"/>
        </w:rPr>
        <w:t xml:space="preserve">Como se indicó previamente, si bien los tratamientos termoquímicos son considerados por la literatura como una alternativa para la valorización de los residuos orgánicos, en la práctica se han desarrollado solamente a nivel de prototipos, sin haberse consolidado a nivel industrial.</w:t>
      </w:r>
    </w:p>
    <w:p w:rsidR="00000000" w:rsidDel="00000000" w:rsidP="00000000" w:rsidRDefault="00000000" w:rsidRPr="00000000" w14:paraId="00000072">
      <w:pPr>
        <w:jc w:val="both"/>
        <w:rPr>
          <w:rFonts w:ascii="Arial" w:cs="Arial" w:eastAsia="Arial" w:hAnsi="Arial"/>
          <w:color w:val="215e99"/>
        </w:rPr>
      </w:pPr>
      <w:r w:rsidDel="00000000" w:rsidR="00000000" w:rsidRPr="00000000">
        <w:rPr>
          <w:rtl w:val="0"/>
        </w:rPr>
      </w:r>
    </w:p>
    <w:p w:rsidR="00000000" w:rsidDel="00000000" w:rsidP="00000000" w:rsidRDefault="00000000" w:rsidRPr="00000000" w14:paraId="00000073">
      <w:pPr>
        <w:jc w:val="both"/>
        <w:rPr>
          <w:rFonts w:ascii="Arial" w:cs="Arial" w:eastAsia="Arial" w:hAnsi="Arial"/>
          <w:color w:val="215e99"/>
        </w:rPr>
      </w:pPr>
      <w:r w:rsidDel="00000000" w:rsidR="00000000" w:rsidRPr="00000000">
        <w:rPr>
          <w:rFonts w:ascii="Arial" w:cs="Arial" w:eastAsia="Arial" w:hAnsi="Arial"/>
          <w:color w:val="215e99"/>
          <w:rtl w:val="0"/>
        </w:rPr>
        <w:t xml:space="preserve">II.1 Pirólisis</w:t>
      </w:r>
    </w:p>
    <w:p w:rsidR="00000000" w:rsidDel="00000000" w:rsidP="00000000" w:rsidRDefault="00000000" w:rsidRPr="00000000" w14:paraId="00000074">
      <w:pPr>
        <w:jc w:val="both"/>
        <w:rPr>
          <w:rFonts w:ascii="Arial" w:cs="Arial" w:eastAsia="Arial" w:hAnsi="Arial"/>
          <w:color w:val="215e99"/>
        </w:rPr>
      </w:pPr>
      <w:r w:rsidDel="00000000" w:rsidR="00000000" w:rsidRPr="00000000">
        <w:rPr>
          <w:rFonts w:ascii="Arial" w:cs="Arial" w:eastAsia="Arial" w:hAnsi="Arial"/>
          <w:color w:val="215e99"/>
          <w:rtl w:val="0"/>
        </w:rPr>
        <w:t xml:space="preserve">La pirólisis implica la descomposición de biomasa mediante el calor en ausencia de oxígeno, lo que da lugar a productos sólidos, líquidos y gaseosos. En principio, existen dos tipos principales de técnicas de pirólisis seca, denominadas según su velocidad de calentamiento: la pirólisis lenta, en la que el principal resultado es un producto sólido denominado carbón vegetal, y la pirólisis rápida, cuyo principal producto es el bioaceite.</w:t>
      </w:r>
    </w:p>
    <w:p w:rsidR="00000000" w:rsidDel="00000000" w:rsidP="00000000" w:rsidRDefault="00000000" w:rsidRPr="00000000" w14:paraId="00000075">
      <w:pPr>
        <w:jc w:val="both"/>
        <w:rPr>
          <w:rFonts w:ascii="Arial" w:cs="Arial" w:eastAsia="Arial" w:hAnsi="Arial"/>
          <w:color w:val="215e99"/>
        </w:rPr>
      </w:pPr>
      <w:r w:rsidDel="00000000" w:rsidR="00000000" w:rsidRPr="00000000">
        <w:rPr>
          <w:rtl w:val="0"/>
        </w:rPr>
      </w:r>
    </w:p>
    <w:p w:rsidR="00000000" w:rsidDel="00000000" w:rsidP="00000000" w:rsidRDefault="00000000" w:rsidRPr="00000000" w14:paraId="00000076">
      <w:pPr>
        <w:jc w:val="both"/>
        <w:rPr>
          <w:rFonts w:ascii="Arial" w:cs="Arial" w:eastAsia="Arial" w:hAnsi="Arial"/>
          <w:color w:val="215e99"/>
        </w:rPr>
      </w:pPr>
      <w:r w:rsidDel="00000000" w:rsidR="00000000" w:rsidRPr="00000000">
        <w:rPr>
          <w:rFonts w:ascii="Arial" w:cs="Arial" w:eastAsia="Arial" w:hAnsi="Arial"/>
          <w:color w:val="215e99"/>
          <w:rtl w:val="0"/>
        </w:rPr>
        <w:t xml:space="preserve">No obstante, la tecnología aún tiene retos técnicos (emisiones a la atmósfera) y una necesidad de adaptación para el tratamiento de residuos orgánicos, dado que la tecnología está diseñada principalmente para la carbonización de troncos  de madera.</w:t>
      </w:r>
    </w:p>
    <w:p w:rsidR="00000000" w:rsidDel="00000000" w:rsidP="00000000" w:rsidRDefault="00000000" w:rsidRPr="00000000" w14:paraId="00000077">
      <w:pPr>
        <w:jc w:val="both"/>
        <w:rPr>
          <w:rFonts w:ascii="Arial" w:cs="Arial" w:eastAsia="Arial" w:hAnsi="Arial"/>
          <w:color w:val="215e99"/>
        </w:rPr>
      </w:pPr>
      <w:r w:rsidDel="00000000" w:rsidR="00000000" w:rsidRPr="00000000">
        <w:rPr>
          <w:rtl w:val="0"/>
        </w:rPr>
      </w:r>
    </w:p>
    <w:p w:rsidR="00000000" w:rsidDel="00000000" w:rsidP="00000000" w:rsidRDefault="00000000" w:rsidRPr="00000000" w14:paraId="00000078">
      <w:pPr>
        <w:jc w:val="both"/>
        <w:rPr>
          <w:rFonts w:ascii="Arial" w:cs="Arial" w:eastAsia="Arial" w:hAnsi="Arial"/>
          <w:color w:val="215e99"/>
        </w:rPr>
      </w:pPr>
      <w:r w:rsidDel="00000000" w:rsidR="00000000" w:rsidRPr="00000000">
        <w:rPr>
          <w:rFonts w:ascii="Arial" w:cs="Arial" w:eastAsia="Arial" w:hAnsi="Arial"/>
          <w:color w:val="215e99"/>
          <w:rtl w:val="0"/>
        </w:rPr>
        <w:t xml:space="preserve">II.2 Gasificación</w:t>
      </w:r>
    </w:p>
    <w:p w:rsidR="00000000" w:rsidDel="00000000" w:rsidP="00000000" w:rsidRDefault="00000000" w:rsidRPr="00000000" w14:paraId="00000079">
      <w:pPr>
        <w:jc w:val="both"/>
        <w:rPr>
          <w:rFonts w:ascii="Arial" w:cs="Arial" w:eastAsia="Arial" w:hAnsi="Arial"/>
          <w:color w:val="215e99"/>
        </w:rPr>
      </w:pPr>
      <w:r w:rsidDel="00000000" w:rsidR="00000000" w:rsidRPr="00000000">
        <w:rPr>
          <w:rFonts w:ascii="Arial" w:cs="Arial" w:eastAsia="Arial" w:hAnsi="Arial"/>
          <w:color w:val="215e99"/>
          <w:rtl w:val="0"/>
        </w:rPr>
        <w:t xml:space="preserve">La gasificación es un tratamiento térmico que convierte la materia carbonosa en un gas (gas de producción, gas de síntesis o syngas), que puede utilizarse como combustible o para la producción de productos químicos de valor añadido.</w:t>
      </w:r>
    </w:p>
    <w:p w:rsidR="00000000" w:rsidDel="00000000" w:rsidP="00000000" w:rsidRDefault="00000000" w:rsidRPr="00000000" w14:paraId="0000007A">
      <w:pPr>
        <w:jc w:val="both"/>
        <w:rPr>
          <w:rFonts w:ascii="Arial" w:cs="Arial" w:eastAsia="Arial" w:hAnsi="Arial"/>
          <w:color w:val="215e99"/>
        </w:rPr>
      </w:pPr>
      <w:r w:rsidDel="00000000" w:rsidR="00000000" w:rsidRPr="00000000">
        <w:rPr>
          <w:rtl w:val="0"/>
        </w:rPr>
      </w:r>
    </w:p>
    <w:p w:rsidR="00000000" w:rsidDel="00000000" w:rsidP="00000000" w:rsidRDefault="00000000" w:rsidRPr="00000000" w14:paraId="0000007B">
      <w:pPr>
        <w:jc w:val="both"/>
        <w:rPr>
          <w:rFonts w:ascii="Arial" w:cs="Arial" w:eastAsia="Arial" w:hAnsi="Arial"/>
          <w:color w:val="215e99"/>
        </w:rPr>
      </w:pPr>
      <w:r w:rsidDel="00000000" w:rsidR="00000000" w:rsidRPr="00000000">
        <w:rPr>
          <w:rFonts w:ascii="Arial" w:cs="Arial" w:eastAsia="Arial" w:hAnsi="Arial"/>
          <w:color w:val="215e99"/>
          <w:rtl w:val="0"/>
        </w:rPr>
        <w:t xml:space="preserve">No obstante, la tecnología requiere que la biomasa sea secada antes de la gasificación, pues el requisito de humedad está entre 10 y el 20%. La gasificación de la biomasa es una tecnología compleja que se considera inmadura, poco flexible, menos competitiva que otras tecnologías y con un alto riesgo de fracaso. Existe un amplio abanico de diseños de gasificación y montajes tecnológicos, muchos de los cuales están todavía en fase de investigación.</w:t>
      </w:r>
    </w:p>
    <w:p w:rsidR="00000000" w:rsidDel="00000000" w:rsidP="00000000" w:rsidRDefault="00000000" w:rsidRPr="00000000" w14:paraId="0000007C">
      <w:pPr>
        <w:jc w:val="both"/>
        <w:rPr>
          <w:rFonts w:ascii="Arial" w:cs="Arial" w:eastAsia="Arial" w:hAnsi="Arial"/>
          <w:color w:val="ee0000"/>
        </w:rPr>
      </w:pPr>
      <w:r w:rsidDel="00000000" w:rsidR="00000000" w:rsidRPr="00000000">
        <w:rPr>
          <w:rtl w:val="0"/>
        </w:rPr>
      </w:r>
    </w:p>
    <w:p w:rsidR="00000000" w:rsidDel="00000000" w:rsidP="00000000" w:rsidRDefault="00000000" w:rsidRPr="00000000" w14:paraId="0000007D">
      <w:pPr>
        <w:jc w:val="both"/>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Selección de la digestión anaerobia</w:t>
      </w:r>
    </w:p>
    <w:p w:rsidR="00000000" w:rsidDel="00000000" w:rsidP="00000000" w:rsidRDefault="00000000" w:rsidRPr="00000000" w14:paraId="0000007E">
      <w:pPr>
        <w:numPr>
          <w:ilvl w:val="0"/>
          <w:numId w:val="10"/>
        </w:numPr>
        <w:spacing w:after="280" w:before="280" w:lineRule="auto"/>
        <w:ind w:left="720" w:hanging="360"/>
        <w:rPr>
          <w:rFonts w:ascii="Arial" w:cs="Arial" w:eastAsia="Arial" w:hAnsi="Arial"/>
          <w:color w:val="000000"/>
          <w:highlight w:val="yellow"/>
        </w:rPr>
      </w:pPr>
      <w:r w:rsidDel="00000000" w:rsidR="00000000" w:rsidRPr="00000000">
        <w:rPr>
          <w:rFonts w:ascii="Arial" w:cs="Arial" w:eastAsia="Arial" w:hAnsi="Arial"/>
          <w:color w:val="000000"/>
          <w:highlight w:val="yellow"/>
          <w:rtl w:val="0"/>
        </w:rPr>
        <w:t xml:space="preserve">Beneficios frente a otras tecnologías</w:t>
      </w:r>
    </w:p>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La implementación de un sistema de digestión anaerobia para el aprovechamiento de residuos orgánicos en Bogotá responde a la necesidad de fortalecer la infraestructura de valorización disponible y avanzar hacia modelos de economía circular promovidos tanto a nivel nacional como distrital.</w:t>
      </w:r>
    </w:p>
    <w:p w:rsidR="00000000" w:rsidDel="00000000" w:rsidP="00000000" w:rsidRDefault="00000000" w:rsidRPr="00000000" w14:paraId="000000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La digestión anaerobia permite transformar residuos orgánicos en productos de valor agregado, incluyendo biogás y digestato, reduciendo simultáneamente la cantidad de residuos enviados a disposición final. Esta tecnología se encuentra alineada con los principios de la Política Nacional de Economía Circular (CONPES 4011 de 2020), la Política Nacional para la Gestión Integral de Residuos Sólidos (CONPES 3874 de 2016), el Plan de Gestión Integral de Residuos Sólidos de Bogotá y la estrategia Bogotá Circular.</w:t>
      </w:r>
    </w:p>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Asimismo, la valorización energética de residuos orgánicos contribuye al cumplimiento de metas relacionadas con la mitigación de emisiones de gases de efecto invernadero, la generación de energías renovables, la reducción de residuos enviados al relleno sanitario y la producción de bioinsumos para el sector agrícola.</w:t>
      </w:r>
    </w:p>
    <w:p w:rsidR="00000000" w:rsidDel="00000000" w:rsidP="00000000" w:rsidRDefault="00000000" w:rsidRPr="00000000" w14:paraId="00000082">
      <w:pPr>
        <w:jc w:val="both"/>
        <w:rPr>
          <w:rFonts w:ascii="Arial" w:cs="Arial" w:eastAsia="Arial" w:hAnsi="Arial"/>
        </w:rPr>
      </w:pPr>
      <w:r w:rsidDel="00000000" w:rsidR="00000000" w:rsidRPr="00000000">
        <w:rPr>
          <w:rFonts w:ascii="Arial" w:cs="Arial" w:eastAsia="Arial" w:hAnsi="Arial"/>
          <w:rtl w:val="0"/>
        </w:rPr>
        <w:t xml:space="preserve">En este contexto, la implementación de infraestructura de digestión anaerobia representa una oportunidad para convertir un problema ambiental creciente en una fuente de recursos energéticos, económicos y ambientales para la ciudad, fortaleciendo la resiliencia urbana y promoviendo la transición hacia un modelo de desarrollo más sostenible.</w:t>
      </w:r>
    </w:p>
    <w:p w:rsidR="00000000" w:rsidDel="00000000" w:rsidP="00000000" w:rsidRDefault="00000000" w:rsidRPr="00000000" w14:paraId="00000083">
      <w:pPr>
        <w:pStyle w:val="Heading2"/>
        <w:rPr/>
      </w:pPr>
      <w:r w:rsidDel="00000000" w:rsidR="00000000" w:rsidRPr="00000000">
        <w:rPr>
          <w:rtl w:val="0"/>
        </w:rPr>
        <w:t xml:space="preserve">3. Alineación Estratégica y Normativa</w:t>
      </w:r>
    </w:p>
    <w:p w:rsidR="00000000" w:rsidDel="00000000" w:rsidP="00000000" w:rsidRDefault="00000000" w:rsidRPr="00000000" w14:paraId="00000084">
      <w:pPr>
        <w:pStyle w:val="Heading2"/>
        <w:rPr/>
      </w:pPr>
      <w:r w:rsidDel="00000000" w:rsidR="00000000" w:rsidRPr="00000000">
        <w:rPr>
          <w:rtl w:val="0"/>
        </w:rPr>
        <w:t xml:space="preserve">3.1 Contribución a la agenda climática nacional</w:t>
      </w:r>
    </w:p>
    <w:p w:rsidR="00000000" w:rsidDel="00000000" w:rsidP="00000000" w:rsidRDefault="00000000" w:rsidRPr="00000000" w14:paraId="00000085">
      <w:pPr>
        <w:spacing w:after="240" w:before="240" w:lineRule="auto"/>
        <w:rPr/>
      </w:pPr>
      <w:r w:rsidDel="00000000" w:rsidR="00000000" w:rsidRPr="00000000">
        <w:rPr>
          <w:rtl w:val="0"/>
        </w:rPr>
        <w:t xml:space="preserve">La iniciativa contribuye a:</w:t>
      </w:r>
    </w:p>
    <w:p w:rsidR="00000000" w:rsidDel="00000000" w:rsidP="00000000" w:rsidRDefault="00000000" w:rsidRPr="00000000" w14:paraId="00000086">
      <w:pPr>
        <w:pStyle w:val="Heading3"/>
        <w:keepNext w:val="0"/>
        <w:keepLines w:val="0"/>
        <w:spacing w:before="280" w:lineRule="auto"/>
        <w:rPr>
          <w:b w:val="1"/>
          <w:bCs w:val="1"/>
          <w:color w:val="000000"/>
          <w:sz w:val="26"/>
          <w:szCs w:val="26"/>
        </w:rPr>
      </w:pPr>
      <w:bookmarkStart w:colFirst="0" w:colLast="0" w:name="_heading=h.yuu2eg6kycij" w:id="2"/>
      <w:bookmarkEnd w:id="2"/>
      <w:r w:rsidDel="00000000" w:rsidR="00000000" w:rsidRPr="00000000">
        <w:rPr>
          <w:b w:val="1"/>
          <w:bCs w:val="1"/>
          <w:color w:val="000000"/>
          <w:sz w:val="26"/>
          <w:szCs w:val="26"/>
          <w:rtl w:val="0"/>
        </w:rPr>
        <w:t xml:space="preserve">Mitigación</w:t>
      </w:r>
    </w:p>
    <w:p w:rsidR="00000000" w:rsidDel="00000000" w:rsidP="00000000" w:rsidRDefault="00000000" w:rsidRPr="00000000" w14:paraId="00000087">
      <w:pPr>
        <w:numPr>
          <w:ilvl w:val="0"/>
          <w:numId w:val="1"/>
        </w:numPr>
        <w:spacing w:after="0" w:afterAutospacing="0" w:before="240" w:lineRule="auto"/>
        <w:ind w:left="720" w:hanging="360"/>
      </w:pPr>
      <w:r w:rsidDel="00000000" w:rsidR="00000000" w:rsidRPr="00000000">
        <w:rPr>
          <w:rtl w:val="0"/>
        </w:rPr>
        <w:t xml:space="preserve">Reducción de emisiones de metano.</w:t>
      </w:r>
    </w:p>
    <w:p w:rsidR="00000000" w:rsidDel="00000000" w:rsidP="00000000" w:rsidRDefault="00000000" w:rsidRPr="00000000" w14:paraId="00000088">
      <w:pPr>
        <w:numPr>
          <w:ilvl w:val="0"/>
          <w:numId w:val="1"/>
        </w:numPr>
        <w:spacing w:after="0" w:afterAutospacing="0" w:before="0" w:beforeAutospacing="0" w:lineRule="auto"/>
        <w:ind w:left="720" w:hanging="360"/>
      </w:pPr>
      <w:r w:rsidDel="00000000" w:rsidR="00000000" w:rsidRPr="00000000">
        <w:rPr>
          <w:rtl w:val="0"/>
        </w:rPr>
        <w:t xml:space="preserve">Sustitución de combustibles fósiles.</w:t>
      </w:r>
    </w:p>
    <w:p w:rsidR="00000000" w:rsidDel="00000000" w:rsidP="00000000" w:rsidRDefault="00000000" w:rsidRPr="00000000" w14:paraId="00000089">
      <w:pPr>
        <w:numPr>
          <w:ilvl w:val="0"/>
          <w:numId w:val="1"/>
        </w:numPr>
        <w:spacing w:after="240" w:before="0" w:beforeAutospacing="0" w:lineRule="auto"/>
        <w:ind w:left="720" w:hanging="360"/>
      </w:pPr>
      <w:r w:rsidDel="00000000" w:rsidR="00000000" w:rsidRPr="00000000">
        <w:rPr>
          <w:rtl w:val="0"/>
        </w:rPr>
        <w:t xml:space="preserve">Producción de energía renovable.</w:t>
      </w:r>
    </w:p>
    <w:p w:rsidR="00000000" w:rsidDel="00000000" w:rsidP="00000000" w:rsidRDefault="00000000" w:rsidRPr="00000000" w14:paraId="0000008A">
      <w:pPr>
        <w:pStyle w:val="Heading3"/>
        <w:keepNext w:val="0"/>
        <w:keepLines w:val="0"/>
        <w:spacing w:before="280" w:lineRule="auto"/>
        <w:rPr>
          <w:b w:val="1"/>
          <w:bCs w:val="1"/>
          <w:color w:val="000000"/>
          <w:sz w:val="26"/>
          <w:szCs w:val="26"/>
        </w:rPr>
      </w:pPr>
      <w:bookmarkStart w:colFirst="0" w:colLast="0" w:name="_heading=h.h6b4q2bar5ps" w:id="3"/>
      <w:bookmarkEnd w:id="3"/>
      <w:r w:rsidDel="00000000" w:rsidR="00000000" w:rsidRPr="00000000">
        <w:rPr>
          <w:b w:val="1"/>
          <w:bCs w:val="1"/>
          <w:color w:val="000000"/>
          <w:sz w:val="26"/>
          <w:szCs w:val="26"/>
          <w:rtl w:val="0"/>
        </w:rPr>
        <w:t xml:space="preserve">Adaptación</w:t>
      </w:r>
    </w:p>
    <w:p w:rsidR="00000000" w:rsidDel="00000000" w:rsidP="00000000" w:rsidRDefault="00000000" w:rsidRPr="00000000" w14:paraId="0000008B">
      <w:pPr>
        <w:numPr>
          <w:ilvl w:val="0"/>
          <w:numId w:val="19"/>
        </w:numPr>
        <w:spacing w:after="0" w:afterAutospacing="0" w:before="240" w:lineRule="auto"/>
        <w:ind w:left="720" w:hanging="360"/>
      </w:pPr>
      <w:r w:rsidDel="00000000" w:rsidR="00000000" w:rsidRPr="00000000">
        <w:rPr>
          <w:rtl w:val="0"/>
        </w:rPr>
        <w:t xml:space="preserve">Diversificación energética.</w:t>
      </w:r>
    </w:p>
    <w:p w:rsidR="00000000" w:rsidDel="00000000" w:rsidP="00000000" w:rsidRDefault="00000000" w:rsidRPr="00000000" w14:paraId="0000008C">
      <w:pPr>
        <w:numPr>
          <w:ilvl w:val="0"/>
          <w:numId w:val="19"/>
        </w:numPr>
        <w:spacing w:after="0" w:afterAutospacing="0" w:before="0" w:beforeAutospacing="0" w:lineRule="auto"/>
        <w:ind w:left="720" w:hanging="360"/>
      </w:pPr>
      <w:r w:rsidDel="00000000" w:rsidR="00000000" w:rsidRPr="00000000">
        <w:rPr>
          <w:rtl w:val="0"/>
        </w:rPr>
        <w:t xml:space="preserve">Fortalecimiento de resiliencia urbana.</w:t>
      </w:r>
    </w:p>
    <w:p w:rsidR="00000000" w:rsidDel="00000000" w:rsidP="00000000" w:rsidRDefault="00000000" w:rsidRPr="00000000" w14:paraId="0000008D">
      <w:pPr>
        <w:numPr>
          <w:ilvl w:val="0"/>
          <w:numId w:val="19"/>
        </w:numPr>
        <w:spacing w:after="240" w:before="0" w:beforeAutospacing="0" w:lineRule="auto"/>
        <w:ind w:left="720" w:hanging="360"/>
      </w:pPr>
      <w:r w:rsidDel="00000000" w:rsidR="00000000" w:rsidRPr="00000000">
        <w:rPr>
          <w:rtl w:val="0"/>
        </w:rPr>
        <w:t xml:space="preserve">Gestión sostenible de recursos.</w:t>
      </w:r>
    </w:p>
    <w:p w:rsidR="00000000" w:rsidDel="00000000" w:rsidP="00000000" w:rsidRDefault="00000000" w:rsidRPr="00000000" w14:paraId="0000008E">
      <w:pPr>
        <w:rPr/>
      </w:pPr>
      <w:r w:rsidDel="00000000" w:rsidR="00000000" w:rsidRPr="00000000">
        <w:rPr>
          <w:rtl w:val="0"/>
        </w:rPr>
      </w:r>
    </w:p>
    <w:p w:rsidR="00000000" w:rsidDel="00000000" w:rsidP="00000000" w:rsidRDefault="00000000" w:rsidRPr="00000000" w14:paraId="0000008F">
      <w:pPr>
        <w:pStyle w:val="Heading2"/>
        <w:rPr>
          <w:rFonts w:ascii="Times New Roman" w:cs="Times New Roman" w:eastAsia="Times New Roman" w:hAnsi="Times New Roman"/>
          <w:color w:val="000000"/>
        </w:rPr>
      </w:pPr>
      <w:r w:rsidDel="00000000" w:rsidR="00000000" w:rsidRPr="00000000">
        <w:rPr>
          <w:rtl w:val="0"/>
        </w:rPr>
        <w:t xml:space="preserve">3.2 Alineación con la Taxonomía Verde de Colombia</w:t>
      </w:r>
      <w:r w:rsidDel="00000000" w:rsidR="00000000" w:rsidRPr="00000000">
        <w:rPr>
          <w:rtl w:val="0"/>
        </w:rPr>
      </w:r>
    </w:p>
    <w:p w:rsidR="00000000" w:rsidDel="00000000" w:rsidP="00000000" w:rsidRDefault="00000000" w:rsidRPr="00000000" w14:paraId="00000090">
      <w:pPr>
        <w:pStyle w:val="Heading3"/>
        <w:rPr>
          <w:rFonts w:ascii="Arial" w:cs="Arial" w:eastAsia="Arial" w:hAnsi="Arial"/>
        </w:rPr>
      </w:pPr>
      <w:r w:rsidDel="00000000" w:rsidR="00000000" w:rsidRPr="00000000">
        <w:rPr>
          <w:rFonts w:ascii="Arial" w:cs="Arial" w:eastAsia="Arial" w:hAnsi="Arial"/>
          <w:rtl w:val="0"/>
        </w:rPr>
        <w:t xml:space="preserve">3.3 Contribución al CONPES 4011 de Economía Circular</w:t>
      </w:r>
    </w:p>
    <w:p w:rsidR="00000000" w:rsidDel="00000000" w:rsidP="00000000" w:rsidRDefault="00000000" w:rsidRPr="00000000" w14:paraId="00000091">
      <w:pPr>
        <w:spacing w:after="240" w:before="240" w:lineRule="auto"/>
        <w:rPr/>
      </w:pPr>
      <w:r w:rsidDel="00000000" w:rsidR="00000000" w:rsidRPr="00000000">
        <w:rPr>
          <w:rtl w:val="0"/>
        </w:rPr>
        <w:t xml:space="preserve">El proyecto contribuye directamente a las líneas de acción relacionadas con:</w:t>
      </w:r>
    </w:p>
    <w:p w:rsidR="00000000" w:rsidDel="00000000" w:rsidP="00000000" w:rsidRDefault="00000000" w:rsidRPr="00000000" w14:paraId="00000092">
      <w:pPr>
        <w:numPr>
          <w:ilvl w:val="0"/>
          <w:numId w:val="2"/>
        </w:numPr>
        <w:spacing w:after="0" w:afterAutospacing="0" w:before="240" w:lineRule="auto"/>
        <w:ind w:left="720" w:hanging="360"/>
      </w:pPr>
      <w:r w:rsidDel="00000000" w:rsidR="00000000" w:rsidRPr="00000000">
        <w:rPr>
          <w:rtl w:val="0"/>
        </w:rPr>
        <w:t xml:space="preserve">Cierre de ciclos de materiales.</w:t>
      </w:r>
    </w:p>
    <w:p w:rsidR="00000000" w:rsidDel="00000000" w:rsidP="00000000" w:rsidRDefault="00000000" w:rsidRPr="00000000" w14:paraId="00000093">
      <w:pPr>
        <w:numPr>
          <w:ilvl w:val="0"/>
          <w:numId w:val="2"/>
        </w:numPr>
        <w:spacing w:after="0" w:afterAutospacing="0" w:before="0" w:beforeAutospacing="0" w:lineRule="auto"/>
        <w:ind w:left="720" w:hanging="360"/>
      </w:pPr>
      <w:r w:rsidDel="00000000" w:rsidR="00000000" w:rsidRPr="00000000">
        <w:rPr>
          <w:rtl w:val="0"/>
        </w:rPr>
        <w:t xml:space="preserve">Aprovechamiento de biomasa residual.</w:t>
      </w:r>
    </w:p>
    <w:p w:rsidR="00000000" w:rsidDel="00000000" w:rsidP="00000000" w:rsidRDefault="00000000" w:rsidRPr="00000000" w14:paraId="00000094">
      <w:pPr>
        <w:numPr>
          <w:ilvl w:val="0"/>
          <w:numId w:val="2"/>
        </w:numPr>
        <w:spacing w:after="0" w:afterAutospacing="0" w:before="0" w:beforeAutospacing="0" w:lineRule="auto"/>
        <w:ind w:left="720" w:hanging="360"/>
      </w:pPr>
      <w:r w:rsidDel="00000000" w:rsidR="00000000" w:rsidRPr="00000000">
        <w:rPr>
          <w:rtl w:val="0"/>
        </w:rPr>
        <w:t xml:space="preserve">Generación de nuevos modelos de negocio.</w:t>
      </w:r>
    </w:p>
    <w:p w:rsidR="00000000" w:rsidDel="00000000" w:rsidP="00000000" w:rsidRDefault="00000000" w:rsidRPr="00000000" w14:paraId="00000095">
      <w:pPr>
        <w:numPr>
          <w:ilvl w:val="0"/>
          <w:numId w:val="2"/>
        </w:numPr>
        <w:spacing w:after="0" w:afterAutospacing="0" w:before="0" w:beforeAutospacing="0" w:lineRule="auto"/>
        <w:ind w:left="720" w:hanging="360"/>
      </w:pPr>
      <w:r w:rsidDel="00000000" w:rsidR="00000000" w:rsidRPr="00000000">
        <w:rPr>
          <w:rtl w:val="0"/>
        </w:rPr>
        <w:t xml:space="preserve">Innovación tecnológica.</w:t>
      </w:r>
    </w:p>
    <w:p w:rsidR="00000000" w:rsidDel="00000000" w:rsidP="00000000" w:rsidRDefault="00000000" w:rsidRPr="00000000" w14:paraId="00000096">
      <w:pPr>
        <w:numPr>
          <w:ilvl w:val="0"/>
          <w:numId w:val="2"/>
        </w:numPr>
        <w:spacing w:after="240" w:before="0" w:beforeAutospacing="0" w:lineRule="auto"/>
        <w:ind w:left="720" w:hanging="360"/>
      </w:pPr>
      <w:r w:rsidDel="00000000" w:rsidR="00000000" w:rsidRPr="00000000">
        <w:rPr>
          <w:rtl w:val="0"/>
        </w:rPr>
        <w:t xml:space="preserve">Producción sostenible.</w:t>
      </w:r>
    </w:p>
    <w:p w:rsidR="00000000" w:rsidDel="00000000" w:rsidP="00000000" w:rsidRDefault="00000000" w:rsidRPr="00000000" w14:paraId="00000097">
      <w:pPr>
        <w:spacing w:after="240" w:before="240" w:lineRule="auto"/>
        <w:rPr/>
      </w:pPr>
      <w:r w:rsidDel="00000000" w:rsidR="00000000" w:rsidRPr="00000000">
        <w:rPr>
          <w:rtl w:val="0"/>
        </w:rPr>
        <w:t xml:space="preserve">La digestión anaerobia permite reincorporar recursos actualmente desaprovechados a la economía productiva.</w:t>
      </w:r>
    </w:p>
    <w:p w:rsidR="00000000" w:rsidDel="00000000" w:rsidP="00000000" w:rsidRDefault="00000000" w:rsidRPr="00000000" w14:paraId="00000098">
      <w:pPr>
        <w:rPr/>
      </w:pPr>
      <w:r w:rsidDel="00000000" w:rsidR="00000000" w:rsidRPr="00000000">
        <w:rPr>
          <w:rtl w:val="0"/>
        </w:rPr>
      </w:r>
    </w:p>
    <w:p w:rsidR="00000000" w:rsidDel="00000000" w:rsidP="00000000" w:rsidRDefault="00000000" w:rsidRPr="00000000" w14:paraId="00000099">
      <w:pPr>
        <w:pStyle w:val="Heading3"/>
        <w:rPr>
          <w:rFonts w:ascii="Arial" w:cs="Arial" w:eastAsia="Arial" w:hAnsi="Arial"/>
        </w:rPr>
      </w:pPr>
      <w:r w:rsidDel="00000000" w:rsidR="00000000" w:rsidRPr="00000000">
        <w:rPr>
          <w:rFonts w:ascii="Arial" w:cs="Arial" w:eastAsia="Arial" w:hAnsi="Arial"/>
          <w:rtl w:val="0"/>
        </w:rPr>
        <w:t xml:space="preserve">3.4 Alineación con el CONPES Distrital 35 de Economía Circular</w:t>
      </w:r>
    </w:p>
    <w:p w:rsidR="00000000" w:rsidDel="00000000" w:rsidP="00000000" w:rsidRDefault="00000000" w:rsidRPr="00000000" w14:paraId="0000009A">
      <w:pPr>
        <w:pStyle w:val="Heading2"/>
        <w:keepNext w:val="0"/>
        <w:keepLines w:val="0"/>
        <w:spacing w:before="360" w:lineRule="auto"/>
        <w:rPr>
          <w:rFonts w:ascii="Aptos" w:cs="Aptos" w:eastAsia="Aptos" w:hAnsi="Aptos"/>
          <w:b w:val="1"/>
          <w:bCs w:val="1"/>
          <w:color w:val="000000"/>
          <w:sz w:val="34"/>
          <w:szCs w:val="34"/>
        </w:rPr>
      </w:pPr>
      <w:bookmarkStart w:colFirst="0" w:colLast="0" w:name="_heading=h.p6pw19xi3lg7" w:id="4"/>
      <w:bookmarkEnd w:id="4"/>
      <w:r w:rsidDel="00000000" w:rsidR="00000000" w:rsidRPr="00000000">
        <w:rPr>
          <w:rFonts w:ascii="Aptos" w:cs="Aptos" w:eastAsia="Aptos" w:hAnsi="Aptos"/>
          <w:color w:val="000000"/>
          <w:sz w:val="24"/>
          <w:szCs w:val="24"/>
          <w:rtl w:val="0"/>
        </w:rPr>
        <w:t xml:space="preserve">1. Transformación de residuos en recursos</w:t>
      </w:r>
      <w:r w:rsidDel="00000000" w:rsidR="00000000" w:rsidRPr="00000000">
        <w:rPr>
          <w:rtl w:val="0"/>
        </w:rPr>
      </w:r>
    </w:p>
    <w:p w:rsidR="00000000" w:rsidDel="00000000" w:rsidP="00000000" w:rsidRDefault="00000000" w:rsidRPr="00000000" w14:paraId="0000009B">
      <w:pPr>
        <w:spacing w:after="240" w:before="240" w:lineRule="auto"/>
        <w:jc w:val="both"/>
        <w:rPr/>
      </w:pPr>
      <w:r w:rsidDel="00000000" w:rsidR="00000000" w:rsidRPr="00000000">
        <w:rPr>
          <w:rtl w:val="0"/>
        </w:rPr>
        <w:t xml:space="preserve">Uno de los objetivos centrales del CONPES D.C. 35 es incrementar el aprovechamiento de materiales y reducir la disposición final de residuos.</w:t>
      </w:r>
    </w:p>
    <w:p w:rsidR="00000000" w:rsidDel="00000000" w:rsidP="00000000" w:rsidRDefault="00000000" w:rsidRPr="00000000" w14:paraId="0000009C">
      <w:pPr>
        <w:spacing w:after="240" w:before="240" w:lineRule="auto"/>
        <w:jc w:val="both"/>
        <w:rPr/>
      </w:pPr>
      <w:r w:rsidDel="00000000" w:rsidR="00000000" w:rsidRPr="00000000">
        <w:rPr>
          <w:rtl w:val="0"/>
        </w:rPr>
        <w:t xml:space="preserve">El proyecto contribuye mediante:</w:t>
      </w:r>
    </w:p>
    <w:p w:rsidR="00000000" w:rsidDel="00000000" w:rsidP="00000000" w:rsidRDefault="00000000" w:rsidRPr="00000000" w14:paraId="0000009D">
      <w:pPr>
        <w:numPr>
          <w:ilvl w:val="0"/>
          <w:numId w:val="20"/>
        </w:numPr>
        <w:spacing w:after="0" w:afterAutospacing="0" w:before="240" w:lineRule="auto"/>
        <w:ind w:left="720" w:hanging="360"/>
        <w:jc w:val="both"/>
        <w:rPr/>
      </w:pPr>
      <w:r w:rsidDel="00000000" w:rsidR="00000000" w:rsidRPr="00000000">
        <w:rPr>
          <w:rtl w:val="0"/>
        </w:rPr>
        <w:t xml:space="preserve">Aprovechamiento de residuos orgánicos que actualmente llegan al Relleno Sanitario Doña Juana.</w:t>
      </w:r>
    </w:p>
    <w:p w:rsidR="00000000" w:rsidDel="00000000" w:rsidP="00000000" w:rsidRDefault="00000000" w:rsidRPr="00000000" w14:paraId="0000009E">
      <w:pPr>
        <w:numPr>
          <w:ilvl w:val="0"/>
          <w:numId w:val="20"/>
        </w:numPr>
        <w:spacing w:after="0" w:afterAutospacing="0" w:before="0" w:beforeAutospacing="0" w:lineRule="auto"/>
        <w:ind w:left="720" w:hanging="360"/>
        <w:jc w:val="both"/>
        <w:rPr/>
      </w:pPr>
      <w:r w:rsidDel="00000000" w:rsidR="00000000" w:rsidRPr="00000000">
        <w:rPr>
          <w:rtl w:val="0"/>
        </w:rPr>
        <w:t xml:space="preserve">Producción de biogás como fuente de energía renovable.</w:t>
      </w:r>
    </w:p>
    <w:p w:rsidR="00000000" w:rsidDel="00000000" w:rsidP="00000000" w:rsidRDefault="00000000" w:rsidRPr="00000000" w14:paraId="0000009F">
      <w:pPr>
        <w:numPr>
          <w:ilvl w:val="0"/>
          <w:numId w:val="20"/>
        </w:numPr>
        <w:spacing w:after="0" w:afterAutospacing="0" w:before="0" w:beforeAutospacing="0" w:lineRule="auto"/>
        <w:ind w:left="720" w:hanging="360"/>
        <w:jc w:val="both"/>
        <w:rPr/>
      </w:pPr>
      <w:r w:rsidDel="00000000" w:rsidR="00000000" w:rsidRPr="00000000">
        <w:rPr>
          <w:rtl w:val="0"/>
        </w:rPr>
        <w:t xml:space="preserve">Producción de digestato como insumo para recuperación de suelos o actividades agrícolas.</w:t>
      </w:r>
    </w:p>
    <w:p w:rsidR="00000000" w:rsidDel="00000000" w:rsidP="00000000" w:rsidRDefault="00000000" w:rsidRPr="00000000" w14:paraId="000000A0">
      <w:pPr>
        <w:numPr>
          <w:ilvl w:val="0"/>
          <w:numId w:val="20"/>
        </w:numPr>
        <w:spacing w:after="240" w:before="0" w:beforeAutospacing="0" w:lineRule="auto"/>
        <w:ind w:left="720" w:hanging="360"/>
        <w:jc w:val="both"/>
        <w:rPr/>
      </w:pPr>
      <w:r w:rsidDel="00000000" w:rsidR="00000000" w:rsidRPr="00000000">
        <w:rPr>
          <w:rtl w:val="0"/>
        </w:rPr>
        <w:t xml:space="preserve">Reducción de residuos enviados a disposición final.</w:t>
      </w:r>
    </w:p>
    <w:p w:rsidR="00000000" w:rsidDel="00000000" w:rsidP="00000000" w:rsidRDefault="00000000" w:rsidRPr="00000000" w14:paraId="000000A1">
      <w:pPr>
        <w:pStyle w:val="Heading2"/>
        <w:keepNext w:val="0"/>
        <w:keepLines w:val="0"/>
        <w:spacing w:before="360" w:lineRule="auto"/>
        <w:jc w:val="both"/>
        <w:rPr>
          <w:rFonts w:ascii="Aptos" w:cs="Aptos" w:eastAsia="Aptos" w:hAnsi="Aptos"/>
          <w:b w:val="1"/>
          <w:bCs w:val="1"/>
          <w:color w:val="000000"/>
          <w:sz w:val="34"/>
          <w:szCs w:val="34"/>
        </w:rPr>
      </w:pPr>
      <w:bookmarkStart w:colFirst="0" w:colLast="0" w:name="_heading=h.sy61i1d7cuby" w:id="5"/>
      <w:bookmarkEnd w:id="5"/>
      <w:r w:rsidDel="00000000" w:rsidR="00000000" w:rsidRPr="00000000">
        <w:rPr>
          <w:rFonts w:ascii="Aptos" w:cs="Aptos" w:eastAsia="Aptos" w:hAnsi="Aptos"/>
          <w:color w:val="000000"/>
          <w:sz w:val="24"/>
          <w:szCs w:val="24"/>
          <w:rtl w:val="0"/>
        </w:rPr>
        <w:t xml:space="preserve">2. Cierre de ciclos de materiales y biomasa</w:t>
      </w:r>
      <w:r w:rsidDel="00000000" w:rsidR="00000000" w:rsidRPr="00000000">
        <w:rPr>
          <w:rtl w:val="0"/>
        </w:rPr>
      </w:r>
    </w:p>
    <w:p w:rsidR="00000000" w:rsidDel="00000000" w:rsidP="00000000" w:rsidRDefault="00000000" w:rsidRPr="00000000" w14:paraId="000000A2">
      <w:pPr>
        <w:spacing w:after="240" w:before="240" w:lineRule="auto"/>
        <w:jc w:val="both"/>
        <w:rPr/>
      </w:pPr>
      <w:r w:rsidDel="00000000" w:rsidR="00000000" w:rsidRPr="00000000">
        <w:rPr>
          <w:rtl w:val="0"/>
        </w:rPr>
        <w:t xml:space="preserve">La política reconoce la biomasa y los residuos orgánicos como flujos prioritarios para la circularidad de la ciudad.</w:t>
      </w:r>
    </w:p>
    <w:p w:rsidR="00000000" w:rsidDel="00000000" w:rsidP="00000000" w:rsidRDefault="00000000" w:rsidRPr="00000000" w14:paraId="000000A3">
      <w:pPr>
        <w:spacing w:after="240" w:before="240" w:lineRule="auto"/>
        <w:jc w:val="both"/>
        <w:rPr/>
      </w:pPr>
      <w:r w:rsidDel="00000000" w:rsidR="00000000" w:rsidRPr="00000000">
        <w:rPr>
          <w:rtl w:val="0"/>
        </w:rPr>
        <w:t xml:space="preserve">El proyecto:</w:t>
      </w:r>
    </w:p>
    <w:p w:rsidR="00000000" w:rsidDel="00000000" w:rsidP="00000000" w:rsidRDefault="00000000" w:rsidRPr="00000000" w14:paraId="000000A4">
      <w:pPr>
        <w:numPr>
          <w:ilvl w:val="0"/>
          <w:numId w:val="4"/>
        </w:numPr>
        <w:spacing w:after="0" w:afterAutospacing="0" w:before="240" w:lineRule="auto"/>
        <w:ind w:left="720" w:hanging="360"/>
        <w:rPr/>
      </w:pPr>
      <w:r w:rsidDel="00000000" w:rsidR="00000000" w:rsidRPr="00000000">
        <w:rPr>
          <w:rtl w:val="0"/>
        </w:rPr>
        <w:t xml:space="preserve">Recupera nutrientes contenidos en los residuos orgánicos.</w:t>
      </w:r>
    </w:p>
    <w:p w:rsidR="00000000" w:rsidDel="00000000" w:rsidP="00000000" w:rsidRDefault="00000000" w:rsidRPr="00000000" w14:paraId="000000A5">
      <w:pPr>
        <w:numPr>
          <w:ilvl w:val="0"/>
          <w:numId w:val="4"/>
        </w:numPr>
        <w:spacing w:after="0" w:afterAutospacing="0" w:before="0" w:beforeAutospacing="0" w:lineRule="auto"/>
        <w:ind w:left="720" w:hanging="360"/>
        <w:rPr/>
      </w:pPr>
      <w:r w:rsidDel="00000000" w:rsidR="00000000" w:rsidRPr="00000000">
        <w:rPr>
          <w:rtl w:val="0"/>
        </w:rPr>
        <w:t xml:space="preserve">Cierra ciclos biológicos mediante la valorización de la materia orgánica.</w:t>
      </w:r>
    </w:p>
    <w:p w:rsidR="00000000" w:rsidDel="00000000" w:rsidP="00000000" w:rsidRDefault="00000000" w:rsidRPr="00000000" w14:paraId="000000A6">
      <w:pPr>
        <w:numPr>
          <w:ilvl w:val="0"/>
          <w:numId w:val="4"/>
        </w:numPr>
        <w:spacing w:after="240" w:before="0" w:beforeAutospacing="0" w:lineRule="auto"/>
        <w:ind w:left="720" w:hanging="360"/>
        <w:rPr/>
      </w:pPr>
      <w:r w:rsidDel="00000000" w:rsidR="00000000" w:rsidRPr="00000000">
        <w:rPr>
          <w:rtl w:val="0"/>
        </w:rPr>
        <w:t xml:space="preserve">Disminuye la pérdida de recursos que actualmente terminan en relleno sanitario.</w:t>
      </w:r>
    </w:p>
    <w:p w:rsidR="00000000" w:rsidDel="00000000" w:rsidP="00000000" w:rsidRDefault="00000000" w:rsidRPr="00000000" w14:paraId="000000A7">
      <w:pPr>
        <w:pStyle w:val="Heading2"/>
        <w:keepNext w:val="0"/>
        <w:keepLines w:val="0"/>
        <w:spacing w:before="360" w:lineRule="auto"/>
        <w:rPr>
          <w:rFonts w:ascii="Aptos" w:cs="Aptos" w:eastAsia="Aptos" w:hAnsi="Aptos"/>
          <w:b w:val="1"/>
          <w:bCs w:val="1"/>
          <w:color w:val="000000"/>
          <w:sz w:val="34"/>
          <w:szCs w:val="34"/>
        </w:rPr>
      </w:pPr>
      <w:bookmarkStart w:colFirst="0" w:colLast="0" w:name="_heading=h.fo6s0vopmu8y" w:id="6"/>
      <w:bookmarkEnd w:id="6"/>
      <w:r w:rsidDel="00000000" w:rsidR="00000000" w:rsidRPr="00000000">
        <w:rPr>
          <w:rFonts w:ascii="Aptos" w:cs="Aptos" w:eastAsia="Aptos" w:hAnsi="Aptos"/>
          <w:color w:val="000000"/>
          <w:sz w:val="24"/>
          <w:szCs w:val="24"/>
          <w:rtl w:val="0"/>
        </w:rPr>
        <w:t xml:space="preserve">3. Acción climática y descarbonización</w:t>
      </w:r>
      <w:r w:rsidDel="00000000" w:rsidR="00000000" w:rsidRPr="00000000">
        <w:rPr>
          <w:rtl w:val="0"/>
        </w:rPr>
      </w:r>
    </w:p>
    <w:p w:rsidR="00000000" w:rsidDel="00000000" w:rsidP="00000000" w:rsidRDefault="00000000" w:rsidRPr="00000000" w14:paraId="000000A8">
      <w:pPr>
        <w:spacing w:after="240" w:before="240" w:lineRule="auto"/>
        <w:rPr/>
      </w:pPr>
      <w:r w:rsidDel="00000000" w:rsidR="00000000" w:rsidRPr="00000000">
        <w:rPr>
          <w:rtl w:val="0"/>
        </w:rPr>
        <w:t xml:space="preserve">El CONPES 35 busca que la economía circular sea una herramienta para enfrentar el cambio climático.</w:t>
      </w:r>
    </w:p>
    <w:p w:rsidR="00000000" w:rsidDel="00000000" w:rsidP="00000000" w:rsidRDefault="00000000" w:rsidRPr="00000000" w14:paraId="000000A9">
      <w:pPr>
        <w:spacing w:after="240" w:before="240" w:lineRule="auto"/>
        <w:rPr/>
      </w:pPr>
      <w:r w:rsidDel="00000000" w:rsidR="00000000" w:rsidRPr="00000000">
        <w:rPr>
          <w:rtl w:val="0"/>
        </w:rPr>
        <w:t xml:space="preserve">La digestión anaerobia aporta porque:</w:t>
      </w:r>
    </w:p>
    <w:p w:rsidR="00000000" w:rsidDel="00000000" w:rsidP="00000000" w:rsidRDefault="00000000" w:rsidRPr="00000000" w14:paraId="000000AA">
      <w:pPr>
        <w:numPr>
          <w:ilvl w:val="0"/>
          <w:numId w:val="21"/>
        </w:numPr>
        <w:spacing w:after="0" w:afterAutospacing="0" w:before="240" w:lineRule="auto"/>
        <w:ind w:left="720" w:hanging="360"/>
        <w:rPr/>
      </w:pPr>
      <w:r w:rsidDel="00000000" w:rsidR="00000000" w:rsidRPr="00000000">
        <w:rPr>
          <w:rtl w:val="0"/>
        </w:rPr>
        <w:t xml:space="preserve">Reduce emisiones de metano generadas en rellenos sanitarios.</w:t>
      </w:r>
    </w:p>
    <w:p w:rsidR="00000000" w:rsidDel="00000000" w:rsidP="00000000" w:rsidRDefault="00000000" w:rsidRPr="00000000" w14:paraId="000000AB">
      <w:pPr>
        <w:numPr>
          <w:ilvl w:val="0"/>
          <w:numId w:val="21"/>
        </w:numPr>
        <w:spacing w:after="0" w:afterAutospacing="0" w:before="0" w:beforeAutospacing="0" w:lineRule="auto"/>
        <w:ind w:left="720" w:hanging="360"/>
        <w:rPr/>
      </w:pPr>
      <w:r w:rsidDel="00000000" w:rsidR="00000000" w:rsidRPr="00000000">
        <w:rPr>
          <w:rtl w:val="0"/>
        </w:rPr>
        <w:t xml:space="preserve">Sustituye fuentes de energía de origen fósil mediante biogás.</w:t>
      </w:r>
    </w:p>
    <w:p w:rsidR="00000000" w:rsidDel="00000000" w:rsidP="00000000" w:rsidRDefault="00000000" w:rsidRPr="00000000" w14:paraId="000000AC">
      <w:pPr>
        <w:numPr>
          <w:ilvl w:val="0"/>
          <w:numId w:val="21"/>
        </w:numPr>
        <w:spacing w:after="240" w:before="0" w:beforeAutospacing="0" w:lineRule="auto"/>
        <w:ind w:left="720" w:hanging="360"/>
        <w:rPr/>
      </w:pPr>
      <w:r w:rsidDel="00000000" w:rsidR="00000000" w:rsidRPr="00000000">
        <w:rPr>
          <w:rtl w:val="0"/>
        </w:rPr>
        <w:t xml:space="preserve">Disminuye la huella de carbono asociada a la gestión de residuos.</w:t>
      </w:r>
    </w:p>
    <w:p w:rsidR="00000000" w:rsidDel="00000000" w:rsidP="00000000" w:rsidRDefault="00000000" w:rsidRPr="00000000" w14:paraId="000000AD">
      <w:pPr>
        <w:pStyle w:val="Heading2"/>
        <w:keepNext w:val="0"/>
        <w:keepLines w:val="0"/>
        <w:spacing w:before="360" w:lineRule="auto"/>
        <w:jc w:val="both"/>
        <w:rPr>
          <w:rFonts w:ascii="Aptos" w:cs="Aptos" w:eastAsia="Aptos" w:hAnsi="Aptos"/>
          <w:b w:val="1"/>
          <w:bCs w:val="1"/>
          <w:color w:val="000000"/>
          <w:sz w:val="34"/>
          <w:szCs w:val="34"/>
        </w:rPr>
      </w:pPr>
      <w:bookmarkStart w:colFirst="0" w:colLast="0" w:name="_heading=h.ccoo972z8nsf" w:id="7"/>
      <w:bookmarkEnd w:id="7"/>
      <w:r w:rsidDel="00000000" w:rsidR="00000000" w:rsidRPr="00000000">
        <w:rPr>
          <w:rFonts w:ascii="Aptos" w:cs="Aptos" w:eastAsia="Aptos" w:hAnsi="Aptos"/>
          <w:color w:val="000000"/>
          <w:sz w:val="24"/>
          <w:szCs w:val="24"/>
          <w:rtl w:val="0"/>
        </w:rPr>
        <w:t xml:space="preserve">4. Innovación y nuevas infraestructuras circulares</w:t>
      </w:r>
      <w:r w:rsidDel="00000000" w:rsidR="00000000" w:rsidRPr="00000000">
        <w:rPr>
          <w:rtl w:val="0"/>
        </w:rPr>
      </w:r>
    </w:p>
    <w:p w:rsidR="00000000" w:rsidDel="00000000" w:rsidP="00000000" w:rsidRDefault="00000000" w:rsidRPr="00000000" w14:paraId="000000AE">
      <w:pPr>
        <w:spacing w:after="240" w:before="240" w:lineRule="auto"/>
        <w:jc w:val="both"/>
        <w:rPr/>
      </w:pPr>
      <w:r w:rsidDel="00000000" w:rsidR="00000000" w:rsidRPr="00000000">
        <w:rPr>
          <w:rtl w:val="0"/>
        </w:rPr>
        <w:t xml:space="preserve">La política promueve el desarrollo de infraestructura que permita la transición hacia modelos circulares.</w:t>
      </w:r>
    </w:p>
    <w:p w:rsidR="00000000" w:rsidDel="00000000" w:rsidP="00000000" w:rsidRDefault="00000000" w:rsidRPr="00000000" w14:paraId="000000AF">
      <w:pPr>
        <w:spacing w:after="240" w:before="240" w:lineRule="auto"/>
        <w:jc w:val="both"/>
        <w:rPr/>
      </w:pPr>
      <w:r w:rsidDel="00000000" w:rsidR="00000000" w:rsidRPr="00000000">
        <w:rPr>
          <w:rtl w:val="0"/>
        </w:rPr>
        <w:t xml:space="preserve">El proyecto se alinea al:</w:t>
      </w:r>
    </w:p>
    <w:p w:rsidR="00000000" w:rsidDel="00000000" w:rsidP="00000000" w:rsidRDefault="00000000" w:rsidRPr="00000000" w14:paraId="000000B0">
      <w:pPr>
        <w:numPr>
          <w:ilvl w:val="0"/>
          <w:numId w:val="17"/>
        </w:numPr>
        <w:spacing w:after="0" w:afterAutospacing="0" w:before="240" w:lineRule="auto"/>
        <w:ind w:left="720" w:hanging="360"/>
        <w:rPr/>
      </w:pPr>
      <w:r w:rsidDel="00000000" w:rsidR="00000000" w:rsidRPr="00000000">
        <w:rPr>
          <w:rtl w:val="0"/>
        </w:rPr>
        <w:t xml:space="preserve">Incorporar tecnologías para la valorización de residuos orgánicos.</w:t>
      </w:r>
    </w:p>
    <w:p w:rsidR="00000000" w:rsidDel="00000000" w:rsidP="00000000" w:rsidRDefault="00000000" w:rsidRPr="00000000" w14:paraId="000000B1">
      <w:pPr>
        <w:numPr>
          <w:ilvl w:val="0"/>
          <w:numId w:val="17"/>
        </w:numPr>
        <w:spacing w:after="0" w:afterAutospacing="0" w:before="0" w:beforeAutospacing="0" w:lineRule="auto"/>
        <w:ind w:left="720" w:hanging="360"/>
        <w:rPr/>
      </w:pPr>
      <w:r w:rsidDel="00000000" w:rsidR="00000000" w:rsidRPr="00000000">
        <w:rPr>
          <w:rtl w:val="0"/>
        </w:rPr>
        <w:t xml:space="preserve">Desarrollar infraestructura ambiental innovadora.</w:t>
      </w:r>
    </w:p>
    <w:p w:rsidR="00000000" w:rsidDel="00000000" w:rsidP="00000000" w:rsidRDefault="00000000" w:rsidRPr="00000000" w14:paraId="000000B2">
      <w:pPr>
        <w:numPr>
          <w:ilvl w:val="0"/>
          <w:numId w:val="17"/>
        </w:numPr>
        <w:spacing w:after="240" w:before="0" w:beforeAutospacing="0" w:lineRule="auto"/>
        <w:ind w:left="720" w:hanging="360"/>
        <w:rPr/>
      </w:pPr>
      <w:r w:rsidDel="00000000" w:rsidR="00000000" w:rsidRPr="00000000">
        <w:rPr>
          <w:rtl w:val="0"/>
        </w:rPr>
        <w:t xml:space="preserve">Generar modelos replicables para otras zonas de la ciudad.</w:t>
      </w:r>
    </w:p>
    <w:p w:rsidR="00000000" w:rsidDel="00000000" w:rsidP="00000000" w:rsidRDefault="00000000" w:rsidRPr="00000000" w14:paraId="000000B3">
      <w:pPr>
        <w:pStyle w:val="Heading2"/>
        <w:keepNext w:val="0"/>
        <w:keepLines w:val="0"/>
        <w:spacing w:before="360" w:lineRule="auto"/>
        <w:rPr>
          <w:rFonts w:ascii="Aptos" w:cs="Aptos" w:eastAsia="Aptos" w:hAnsi="Aptos"/>
          <w:b w:val="1"/>
          <w:bCs w:val="1"/>
          <w:color w:val="000000"/>
          <w:sz w:val="34"/>
          <w:szCs w:val="34"/>
        </w:rPr>
      </w:pPr>
      <w:bookmarkStart w:colFirst="0" w:colLast="0" w:name="_heading=h.veoehbyqy3ku" w:id="8"/>
      <w:bookmarkEnd w:id="8"/>
      <w:r w:rsidDel="00000000" w:rsidR="00000000" w:rsidRPr="00000000">
        <w:rPr>
          <w:rFonts w:ascii="Aptos" w:cs="Aptos" w:eastAsia="Aptos" w:hAnsi="Aptos"/>
          <w:color w:val="000000"/>
          <w:sz w:val="24"/>
          <w:szCs w:val="24"/>
          <w:rtl w:val="0"/>
        </w:rPr>
        <w:t xml:space="preserve">5. Desarrollo económico sostenible</w:t>
      </w:r>
      <w:r w:rsidDel="00000000" w:rsidR="00000000" w:rsidRPr="00000000">
        <w:rPr>
          <w:rtl w:val="0"/>
        </w:rPr>
      </w:r>
    </w:p>
    <w:p w:rsidR="00000000" w:rsidDel="00000000" w:rsidP="00000000" w:rsidRDefault="00000000" w:rsidRPr="00000000" w14:paraId="000000B4">
      <w:pPr>
        <w:spacing w:after="240" w:before="240" w:lineRule="auto"/>
        <w:rPr/>
      </w:pPr>
      <w:r w:rsidDel="00000000" w:rsidR="00000000" w:rsidRPr="00000000">
        <w:rPr>
          <w:rtl w:val="0"/>
        </w:rPr>
        <w:t xml:space="preserve">La política busca generar oportunidades económicas a partir de la circularidad.</w:t>
      </w:r>
    </w:p>
    <w:p w:rsidR="00000000" w:rsidDel="00000000" w:rsidP="00000000" w:rsidRDefault="00000000" w:rsidRPr="00000000" w14:paraId="000000B5">
      <w:pPr>
        <w:spacing w:after="240" w:before="240" w:lineRule="auto"/>
        <w:rPr/>
      </w:pPr>
      <w:r w:rsidDel="00000000" w:rsidR="00000000" w:rsidRPr="00000000">
        <w:rPr>
          <w:rtl w:val="0"/>
        </w:rPr>
        <w:t xml:space="preserve">La iniciativa puede:</w:t>
      </w:r>
    </w:p>
    <w:p w:rsidR="00000000" w:rsidDel="00000000" w:rsidP="00000000" w:rsidRDefault="00000000" w:rsidRPr="00000000" w14:paraId="000000B6">
      <w:pPr>
        <w:numPr>
          <w:ilvl w:val="0"/>
          <w:numId w:val="18"/>
        </w:numPr>
        <w:spacing w:after="0" w:afterAutospacing="0" w:before="240" w:lineRule="auto"/>
        <w:ind w:left="720" w:hanging="360"/>
        <w:rPr/>
      </w:pPr>
      <w:r w:rsidDel="00000000" w:rsidR="00000000" w:rsidRPr="00000000">
        <w:rPr>
          <w:rtl w:val="0"/>
        </w:rPr>
        <w:t xml:space="preserve">Crear empleos verdes.</w:t>
      </w:r>
    </w:p>
    <w:p w:rsidR="00000000" w:rsidDel="00000000" w:rsidP="00000000" w:rsidRDefault="00000000" w:rsidRPr="00000000" w14:paraId="000000B7">
      <w:pPr>
        <w:numPr>
          <w:ilvl w:val="0"/>
          <w:numId w:val="18"/>
        </w:numPr>
        <w:spacing w:after="0" w:afterAutospacing="0" w:before="0" w:beforeAutospacing="0" w:lineRule="auto"/>
        <w:ind w:left="720" w:hanging="360"/>
        <w:rPr/>
      </w:pPr>
      <w:r w:rsidDel="00000000" w:rsidR="00000000" w:rsidRPr="00000000">
        <w:rPr>
          <w:rtl w:val="0"/>
        </w:rPr>
        <w:t xml:space="preserve">Generar ingresos por venta de energía o biogás.</w:t>
      </w:r>
    </w:p>
    <w:p w:rsidR="00000000" w:rsidDel="00000000" w:rsidP="00000000" w:rsidRDefault="00000000" w:rsidRPr="00000000" w14:paraId="000000B8">
      <w:pPr>
        <w:numPr>
          <w:ilvl w:val="0"/>
          <w:numId w:val="18"/>
        </w:numPr>
        <w:spacing w:after="240" w:before="0" w:beforeAutospacing="0" w:lineRule="auto"/>
        <w:ind w:left="720" w:hanging="360"/>
        <w:rPr/>
      </w:pPr>
      <w:r w:rsidDel="00000000" w:rsidR="00000000" w:rsidRPr="00000000">
        <w:rPr>
          <w:rtl w:val="0"/>
        </w:rPr>
        <w:t xml:space="preserve">Promover nuevos modelos de negocio asociados al aprovechamiento de residuos orgánicos.</w:t>
      </w:r>
      <w:r w:rsidDel="00000000" w:rsidR="00000000" w:rsidRPr="00000000">
        <w:rPr>
          <w:rtl w:val="0"/>
        </w:rPr>
      </w:r>
    </w:p>
    <w:p w:rsidR="00000000" w:rsidDel="00000000" w:rsidP="00000000" w:rsidRDefault="00000000" w:rsidRPr="00000000" w14:paraId="000000B9">
      <w:pPr>
        <w:pStyle w:val="Heading3"/>
        <w:rPr>
          <w:rFonts w:ascii="Arial" w:cs="Arial" w:eastAsia="Arial" w:hAnsi="Arial"/>
          <w:color w:val="ff0000"/>
        </w:rPr>
      </w:pPr>
      <w:r w:rsidDel="00000000" w:rsidR="00000000" w:rsidRPr="00000000">
        <w:rPr>
          <w:rFonts w:ascii="Arial" w:cs="Arial" w:eastAsia="Arial" w:hAnsi="Arial"/>
          <w:rtl w:val="0"/>
        </w:rPr>
        <w:t xml:space="preserve">3.5 Relación con el POT y PGIRS de Bogotá </w:t>
      </w:r>
      <w:r w:rsidDel="00000000" w:rsidR="00000000" w:rsidRPr="00000000">
        <w:rPr>
          <w:rFonts w:ascii="Arial" w:cs="Arial" w:eastAsia="Arial" w:hAnsi="Arial"/>
          <w:color w:val="ff0000"/>
          <w:rtl w:val="0"/>
        </w:rPr>
        <w:t xml:space="preserve">- Nico</w:t>
      </w:r>
    </w:p>
    <w:p w:rsidR="00000000" w:rsidDel="00000000" w:rsidP="00000000" w:rsidRDefault="00000000" w:rsidRPr="00000000" w14:paraId="000000BA">
      <w:pPr>
        <w:pStyle w:val="Heading3"/>
        <w:rPr>
          <w:rFonts w:ascii="Arial" w:cs="Arial" w:eastAsia="Arial" w:hAnsi="Arial"/>
        </w:rPr>
      </w:pPr>
      <w:r w:rsidDel="00000000" w:rsidR="00000000" w:rsidRPr="00000000">
        <w:rPr>
          <w:rFonts w:ascii="Arial" w:cs="Arial" w:eastAsia="Arial" w:hAnsi="Arial"/>
          <w:rtl w:val="0"/>
        </w:rPr>
        <w:t xml:space="preserve">3.6 Contribución a los ODS</w:t>
      </w:r>
    </w:p>
    <w:p w:rsidR="00000000" w:rsidDel="00000000" w:rsidP="00000000" w:rsidRDefault="00000000" w:rsidRPr="00000000" w14:paraId="000000BB">
      <w:pPr>
        <w:jc w:val="both"/>
        <w:rPr>
          <w:rFonts w:ascii="Arial" w:cs="Arial" w:eastAsia="Arial" w:hAnsi="Arial"/>
        </w:rPr>
      </w:pPr>
      <w:r w:rsidDel="00000000" w:rsidR="00000000" w:rsidRPr="00000000">
        <w:rPr>
          <w:rtl w:val="0"/>
        </w:rPr>
        <w:t xml:space="preserve">De acuerdo con el estudio </w:t>
      </w:r>
      <w:r w:rsidDel="00000000" w:rsidR="00000000" w:rsidRPr="00000000">
        <w:rPr>
          <w:rtl w:val="0"/>
        </w:rPr>
        <w:t xml:space="preserve">del programa Empleos Verdes en la Economía Circular (PREVEC) de la Cooperación Alemana -GIZ- </w:t>
      </w:r>
      <w:r w:rsidDel="00000000" w:rsidR="00000000" w:rsidRPr="00000000">
        <w:rPr>
          <w:rtl w:val="0"/>
        </w:rPr>
        <w:t xml:space="preserve"> el proyecto contribuye a los Objetivos de Desarrollo Sostenible (ODS) de las Naciones Unidas (UN Sustainable Development, 2021), en particular al objetivo 12 “Producción y consumo sostenible”, al proporcionar conceptos para optimizar la gestión de residuos de la ciudad de Bogotá buscando reducir la cantidad de residuos dispuestos. Sin embargo, el proyecto también contribuye a la consecución del objetivo 7 “Energía asequible y limpia” y del Objetivo 11 “Ciudades y comunidades sostenibles”.</w:t>
      </w:r>
      <w:r w:rsidDel="00000000" w:rsidR="00000000" w:rsidRPr="00000000">
        <w:rPr>
          <w:rtl w:val="0"/>
        </w:rPr>
      </w:r>
    </w:p>
    <w:p w:rsidR="00000000" w:rsidDel="00000000" w:rsidP="00000000" w:rsidRDefault="00000000" w:rsidRPr="00000000" w14:paraId="000000BC">
      <w:pPr>
        <w:pStyle w:val="Heading2"/>
        <w:rPr>
          <w:rFonts w:ascii="Arial" w:cs="Arial" w:eastAsia="Arial" w:hAnsi="Arial"/>
        </w:rPr>
      </w:pPr>
      <w:r w:rsidDel="00000000" w:rsidR="00000000" w:rsidRPr="00000000">
        <w:rPr>
          <w:rFonts w:ascii="Arial" w:cs="Arial" w:eastAsia="Arial" w:hAnsi="Arial"/>
          <w:rtl w:val="0"/>
        </w:rPr>
        <w:t xml:space="preserve">5. Descripción de la Solución –</w:t>
      </w:r>
      <w:r w:rsidDel="00000000" w:rsidR="00000000" w:rsidRPr="00000000">
        <w:rPr>
          <w:rFonts w:ascii="Arial" w:cs="Arial" w:eastAsia="Arial" w:hAnsi="Arial"/>
          <w:color w:val="ee0000"/>
          <w:rtl w:val="0"/>
        </w:rPr>
        <w:t xml:space="preserve"> NICO (meterle todo el tema de los bajo puentes)</w:t>
      </w:r>
      <w:r w:rsidDel="00000000" w:rsidR="00000000" w:rsidRPr="00000000">
        <w:rPr>
          <w:rtl w:val="0"/>
        </w:rPr>
      </w:r>
    </w:p>
    <w:p w:rsidR="00000000" w:rsidDel="00000000" w:rsidP="00000000" w:rsidRDefault="00000000" w:rsidRPr="00000000" w14:paraId="000000BD">
      <w:pPr>
        <w:pStyle w:val="Heading3"/>
        <w:rPr>
          <w:rFonts w:ascii="Arial" w:cs="Arial" w:eastAsia="Arial" w:hAnsi="Arial"/>
        </w:rPr>
      </w:pPr>
      <w:r w:rsidDel="00000000" w:rsidR="00000000" w:rsidRPr="00000000">
        <w:rPr>
          <w:rFonts w:ascii="Arial" w:cs="Arial" w:eastAsia="Arial" w:hAnsi="Arial"/>
          <w:rtl w:val="0"/>
        </w:rPr>
        <w:t xml:space="preserve">5.1 Concepto del proyecto</w:t>
      </w:r>
    </w:p>
    <w:p w:rsidR="00000000" w:rsidDel="00000000" w:rsidP="00000000" w:rsidRDefault="00000000" w:rsidRPr="00000000" w14:paraId="000000BE">
      <w:pPr>
        <w:spacing w:after="200" w:line="276"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Este modelo contempla:</w:t>
      </w:r>
    </w:p>
    <w:p w:rsidR="00000000" w:rsidDel="00000000" w:rsidP="00000000" w:rsidRDefault="00000000" w:rsidRPr="00000000" w14:paraId="000000BF">
      <w:pPr>
        <w:numPr>
          <w:ilvl w:val="0"/>
          <w:numId w:val="16"/>
        </w:numPr>
        <w:spacing w:after="0" w:afterAutospacing="0" w:before="240" w:line="276" w:lineRule="auto"/>
        <w:ind w:left="720" w:hanging="360"/>
      </w:pPr>
      <w:r w:rsidDel="00000000" w:rsidR="00000000" w:rsidRPr="00000000">
        <w:rPr>
          <w:rFonts w:ascii="Times New Roman" w:cs="Times New Roman" w:eastAsia="Times New Roman" w:hAnsi="Times New Roman"/>
          <w:rtl w:val="0"/>
        </w:rPr>
        <w:t xml:space="preserve">Capacidad de tratamiento: 1,5 toneladas/día.</w:t>
      </w:r>
    </w:p>
    <w:p w:rsidR="00000000" w:rsidDel="00000000" w:rsidP="00000000" w:rsidRDefault="00000000" w:rsidRPr="00000000" w14:paraId="000000C0">
      <w:pPr>
        <w:numPr>
          <w:ilvl w:val="0"/>
          <w:numId w:val="16"/>
        </w:numPr>
        <w:spacing w:after="0" w:afterAutospacing="0" w:before="0" w:beforeAutospacing="0" w:line="276" w:lineRule="auto"/>
        <w:ind w:left="720" w:hanging="360"/>
      </w:pPr>
      <w:r w:rsidDel="00000000" w:rsidR="00000000" w:rsidRPr="00000000">
        <w:rPr>
          <w:rFonts w:ascii="Times New Roman" w:cs="Times New Roman" w:eastAsia="Times New Roman" w:hAnsi="Times New Roman"/>
          <w:rtl w:val="0"/>
        </w:rPr>
        <w:t xml:space="preserve">Área requerida aproximada: 88 m².</w:t>
      </w:r>
    </w:p>
    <w:p w:rsidR="00000000" w:rsidDel="00000000" w:rsidP="00000000" w:rsidRDefault="00000000" w:rsidRPr="00000000" w14:paraId="000000C1">
      <w:pPr>
        <w:numPr>
          <w:ilvl w:val="0"/>
          <w:numId w:val="16"/>
        </w:numPr>
        <w:spacing w:before="0" w:beforeAutospacing="0" w:line="276" w:lineRule="auto"/>
        <w:ind w:left="720" w:hanging="360"/>
      </w:pPr>
      <w:r w:rsidDel="00000000" w:rsidR="00000000" w:rsidRPr="00000000">
        <w:rPr>
          <w:rFonts w:ascii="Times New Roman" w:cs="Times New Roman" w:eastAsia="Times New Roman" w:hAnsi="Times New Roman"/>
          <w:rtl w:val="0"/>
        </w:rPr>
        <w:t xml:space="preserve">CAPEX estimado: $280 millones de pesos colombianos (precios 2022).</w:t>
      </w:r>
    </w:p>
    <w:p w:rsidR="00000000" w:rsidDel="00000000" w:rsidP="00000000" w:rsidRDefault="00000000" w:rsidRPr="00000000" w14:paraId="000000C2">
      <w:pPr>
        <w:rPr/>
      </w:pPr>
      <w:r w:rsidDel="00000000" w:rsidR="00000000" w:rsidRPr="00000000">
        <w:rPr>
          <w:rtl w:val="0"/>
        </w:rPr>
      </w:r>
    </w:p>
    <w:p w:rsidR="00000000" w:rsidDel="00000000" w:rsidP="00000000" w:rsidRDefault="00000000" w:rsidRPr="00000000" w14:paraId="000000C3">
      <w:pPr>
        <w:pStyle w:val="Heading3"/>
        <w:rPr>
          <w:rFonts w:ascii="Arial" w:cs="Arial" w:eastAsia="Arial" w:hAnsi="Arial"/>
        </w:rPr>
      </w:pPr>
      <w:r w:rsidDel="00000000" w:rsidR="00000000" w:rsidRPr="00000000">
        <w:rPr>
          <w:rFonts w:ascii="Arial" w:cs="Arial" w:eastAsia="Arial" w:hAnsi="Arial"/>
          <w:rtl w:val="0"/>
        </w:rPr>
        <w:t xml:space="preserve">5.2 Modelo operativo</w:t>
      </w:r>
    </w:p>
    <w:p w:rsidR="00000000" w:rsidDel="00000000" w:rsidP="00000000" w:rsidRDefault="00000000" w:rsidRPr="00000000" w14:paraId="000000C4">
      <w:pPr>
        <w:pStyle w:val="Heading3"/>
        <w:rPr>
          <w:rFonts w:ascii="Arial" w:cs="Arial" w:eastAsia="Arial" w:hAnsi="Arial"/>
          <w:sz w:val="27"/>
          <w:szCs w:val="27"/>
        </w:rPr>
      </w:pPr>
      <w:r w:rsidDel="00000000" w:rsidR="00000000" w:rsidRPr="00000000">
        <w:rPr>
          <w:rFonts w:ascii="Arial" w:cs="Arial" w:eastAsia="Arial" w:hAnsi="Arial"/>
          <w:sz w:val="27"/>
          <w:szCs w:val="27"/>
          <w:rtl w:val="0"/>
        </w:rPr>
        <w:t xml:space="preserve">5.3 Tecnología seleccionada y justificación</w:t>
      </w:r>
    </w:p>
    <w:p w:rsidR="00000000" w:rsidDel="00000000" w:rsidP="00000000" w:rsidRDefault="00000000" w:rsidRPr="00000000" w14:paraId="000000C5">
      <w:pPr>
        <w:spacing w:after="240" w:before="240" w:lineRule="auto"/>
        <w:rPr/>
      </w:pPr>
      <w:r w:rsidDel="00000000" w:rsidR="00000000" w:rsidRPr="00000000">
        <w:rPr>
          <w:rtl w:val="0"/>
        </w:rPr>
        <w:t xml:space="preserve">La digestión anaerobia (DA) es un proceso biológico mediante el cual microorganismos especializados degradan materia orgánica en ausencia de oxígeno, transformándola en biogás y digestato. Esta tecnología constituye una de las principales alternativas de valorización de residuos orgánicos a nivel mundial debido a su capacidad para recuperar energía renovable y nutrientes presentes en los residuos.</w:t>
      </w:r>
    </w:p>
    <w:p w:rsidR="00000000" w:rsidDel="00000000" w:rsidP="00000000" w:rsidRDefault="00000000" w:rsidRPr="00000000" w14:paraId="000000C6">
      <w:pPr>
        <w:spacing w:after="240" w:before="240" w:lineRule="auto"/>
        <w:rPr/>
      </w:pPr>
      <w:r w:rsidDel="00000000" w:rsidR="00000000" w:rsidRPr="00000000">
        <w:rPr>
          <w:rtl w:val="0"/>
        </w:rPr>
        <w:t xml:space="preserve">El proceso ocurre dentro de reactores cerrados denominados biodigestores, donde la biomasa es sometida a condiciones controladas de temperatura, humedad, tiempo de retención y mezcla. Durante la digestión, la materia orgánica atraviesa diferentes etapas microbiológicas (hidrólisis, acidogénesis, acetogénesis y metanogénesis) hasta convertirse principalmente en metano (CH₄) y dióxido de carbono (CO₂).</w:t>
      </w:r>
    </w:p>
    <w:p w:rsidR="00000000" w:rsidDel="00000000" w:rsidP="00000000" w:rsidRDefault="00000000" w:rsidRPr="00000000" w14:paraId="000000C7">
      <w:pPr>
        <w:spacing w:after="240" w:before="240" w:lineRule="auto"/>
        <w:rPr/>
      </w:pPr>
      <w:r w:rsidDel="00000000" w:rsidR="00000000" w:rsidRPr="00000000">
        <w:rPr>
          <w:rtl w:val="0"/>
        </w:rPr>
        <w:t xml:space="preserve">Según el estudio de valorización de residuos sólidos para Bogotá, el biogás generado contiene entre 55 % y 70 % de metano, lo que le confiere un importante valor energético. Adicionalmente, la producción promedio estimada para residuos orgánicos municipales es de aproximadamente 100 m³ de biogás por tonelada tratada, con un contenido energético cercano a 6 kWh por metro cúbico de biogás producido. </w:t>
      </w:r>
    </w:p>
    <w:p w:rsidR="00000000" w:rsidDel="00000000" w:rsidP="00000000" w:rsidRDefault="00000000" w:rsidRPr="00000000" w14:paraId="000000C8">
      <w:pPr>
        <w:spacing w:after="240" w:before="240" w:lineRule="auto"/>
        <w:rPr/>
      </w:pPr>
      <w:r w:rsidDel="00000000" w:rsidR="00000000" w:rsidRPr="00000000">
        <w:rPr>
          <w:rtl w:val="0"/>
        </w:rPr>
        <w:t xml:space="preserve">La digestión anaerobia permite transformar un residuo que actualmente es dispuesto en relleno sanitario en productos con valor económico y ambiental, alineándose con los principios de economía circular y gestión sostenible de residuos.</w:t>
      </w:r>
    </w:p>
    <w:p w:rsidR="00000000" w:rsidDel="00000000" w:rsidP="00000000" w:rsidRDefault="00000000" w:rsidRPr="00000000" w14:paraId="000000C9">
      <w:pPr>
        <w:spacing w:after="240" w:before="240" w:lineRule="auto"/>
        <w:rPr/>
      </w:pPr>
      <w:r w:rsidDel="00000000" w:rsidR="00000000" w:rsidRPr="00000000">
        <w:rPr>
          <w:rtl w:val="0"/>
        </w:rPr>
        <w:t xml:space="preserve">La selección de la digestión anaerobia como tecnología de aprovechamiento se fundamenta en criterios técnicos, ambientales, energéticos y estratégicos.</w:t>
      </w:r>
    </w:p>
    <w:p w:rsidR="00000000" w:rsidDel="00000000" w:rsidP="00000000" w:rsidRDefault="00000000" w:rsidRPr="00000000" w14:paraId="000000CA">
      <w:pPr>
        <w:spacing w:after="240" w:before="240" w:lineRule="auto"/>
        <w:rPr/>
      </w:pPr>
      <w:r w:rsidDel="00000000" w:rsidR="00000000" w:rsidRPr="00000000">
        <w:rPr>
          <w:rtl w:val="0"/>
        </w:rPr>
        <w:t xml:space="preserve">A diferencia de otras tecnologías de valorización biológica como el compostaje, la digestión anaerobia permite recuperar simultáneamente energía y nutrientes. Mientras que el compostaje genera únicamente una enmienda orgánica, la digestión anaerobia produce:</w:t>
      </w:r>
    </w:p>
    <w:p w:rsidR="00000000" w:rsidDel="00000000" w:rsidP="00000000" w:rsidRDefault="00000000" w:rsidRPr="00000000" w14:paraId="000000CB">
      <w:pPr>
        <w:numPr>
          <w:ilvl w:val="0"/>
          <w:numId w:val="3"/>
        </w:numPr>
        <w:spacing w:after="0" w:afterAutospacing="0" w:before="240" w:lineRule="auto"/>
        <w:ind w:left="720" w:hanging="360"/>
      </w:pPr>
      <w:r w:rsidDel="00000000" w:rsidR="00000000" w:rsidRPr="00000000">
        <w:rPr>
          <w:rtl w:val="0"/>
        </w:rPr>
        <w:t xml:space="preserve">Biogás con potencial energético.</w:t>
      </w:r>
    </w:p>
    <w:p w:rsidR="00000000" w:rsidDel="00000000" w:rsidP="00000000" w:rsidRDefault="00000000" w:rsidRPr="00000000" w14:paraId="000000CC">
      <w:pPr>
        <w:numPr>
          <w:ilvl w:val="0"/>
          <w:numId w:val="3"/>
        </w:numPr>
        <w:spacing w:after="0" w:afterAutospacing="0" w:before="0" w:beforeAutospacing="0" w:lineRule="auto"/>
        <w:ind w:left="720" w:hanging="360"/>
      </w:pPr>
      <w:r w:rsidDel="00000000" w:rsidR="00000000" w:rsidRPr="00000000">
        <w:rPr>
          <w:rtl w:val="0"/>
        </w:rPr>
        <w:t xml:space="preserve">Biometano (previo enriquecimiento).</w:t>
      </w:r>
    </w:p>
    <w:p w:rsidR="00000000" w:rsidDel="00000000" w:rsidP="00000000" w:rsidRDefault="00000000" w:rsidRPr="00000000" w14:paraId="000000CD">
      <w:pPr>
        <w:numPr>
          <w:ilvl w:val="0"/>
          <w:numId w:val="3"/>
        </w:numPr>
        <w:spacing w:after="0" w:afterAutospacing="0" w:before="0" w:beforeAutospacing="0" w:lineRule="auto"/>
        <w:ind w:left="720" w:hanging="360"/>
      </w:pPr>
      <w:r w:rsidDel="00000000" w:rsidR="00000000" w:rsidRPr="00000000">
        <w:rPr>
          <w:rtl w:val="0"/>
        </w:rPr>
        <w:t xml:space="preserve">Energía eléctrica.</w:t>
      </w:r>
    </w:p>
    <w:p w:rsidR="00000000" w:rsidDel="00000000" w:rsidP="00000000" w:rsidRDefault="00000000" w:rsidRPr="00000000" w14:paraId="000000CE">
      <w:pPr>
        <w:numPr>
          <w:ilvl w:val="0"/>
          <w:numId w:val="3"/>
        </w:numPr>
        <w:spacing w:after="0" w:afterAutospacing="0" w:before="0" w:beforeAutospacing="0" w:lineRule="auto"/>
        <w:ind w:left="720" w:hanging="360"/>
      </w:pPr>
      <w:r w:rsidDel="00000000" w:rsidR="00000000" w:rsidRPr="00000000">
        <w:rPr>
          <w:rtl w:val="0"/>
        </w:rPr>
        <w:t xml:space="preserve">Energía térmica.</w:t>
      </w:r>
    </w:p>
    <w:p w:rsidR="00000000" w:rsidDel="00000000" w:rsidP="00000000" w:rsidRDefault="00000000" w:rsidRPr="00000000" w14:paraId="000000CF">
      <w:pPr>
        <w:numPr>
          <w:ilvl w:val="0"/>
          <w:numId w:val="3"/>
        </w:numPr>
        <w:spacing w:after="240" w:before="0" w:beforeAutospacing="0" w:lineRule="auto"/>
        <w:ind w:left="720" w:hanging="360"/>
      </w:pPr>
      <w:r w:rsidDel="00000000" w:rsidR="00000000" w:rsidRPr="00000000">
        <w:rPr>
          <w:rtl w:val="0"/>
        </w:rPr>
        <w:t xml:space="preserve">Digestato aprovechable como biofertilizante.</w:t>
      </w:r>
    </w:p>
    <w:p w:rsidR="00000000" w:rsidDel="00000000" w:rsidP="00000000" w:rsidRDefault="00000000" w:rsidRPr="00000000" w14:paraId="000000D0">
      <w:pPr>
        <w:spacing w:after="240" w:before="240" w:lineRule="auto"/>
        <w:rPr/>
      </w:pPr>
      <w:r w:rsidDel="00000000" w:rsidR="00000000" w:rsidRPr="00000000">
        <w:rPr>
          <w:rtl w:val="0"/>
        </w:rPr>
        <w:t xml:space="preserve">Adicionalmente, la digestión anaerobia presenta una menor demanda de espacio físico. El estudio de valorización para Bogotá indica que los requerimientos de área para plantas de digestión anaerobia oscilan entre 0,10 y 0,25 m² por tonelada tratada al año, mientras que los sistemas de compostaje requieren entre 0,40 y 1,00 m² por tonelada tratada al año. </w:t>
      </w:r>
    </w:p>
    <w:p w:rsidR="00000000" w:rsidDel="00000000" w:rsidP="00000000" w:rsidRDefault="00000000" w:rsidRPr="00000000" w14:paraId="000000D1">
      <w:pPr>
        <w:spacing w:after="240" w:before="240" w:lineRule="auto"/>
        <w:rPr/>
      </w:pPr>
      <w:r w:rsidDel="00000000" w:rsidR="00000000" w:rsidRPr="00000000">
        <w:rPr>
          <w:rtl w:val="0"/>
        </w:rPr>
        <w:t xml:space="preserve">Esta característica resulta particularmente relevante en un contexto urbano como Bogotá, donde la disponibilidad de suelo para nuevas infraestructuras ambientales es limitada.</w:t>
      </w:r>
    </w:p>
    <w:p w:rsidR="00000000" w:rsidDel="00000000" w:rsidP="00000000" w:rsidRDefault="00000000" w:rsidRPr="00000000" w14:paraId="000000D2">
      <w:pPr>
        <w:spacing w:after="240" w:before="240" w:lineRule="auto"/>
        <w:rPr/>
      </w:pPr>
      <w:r w:rsidDel="00000000" w:rsidR="00000000" w:rsidRPr="00000000">
        <w:rPr>
          <w:rtl w:val="0"/>
        </w:rPr>
        <w:t xml:space="preserve">Asimismo, la digestión anaerobia contribuye directamente a la reducción de emisiones de gases de efecto invernadero al capturar el metano que de otra forma sería emitido durante la disposición final de los residuos.</w:t>
      </w:r>
    </w:p>
    <w:p w:rsidR="00000000" w:rsidDel="00000000" w:rsidP="00000000" w:rsidRDefault="00000000" w:rsidRPr="00000000" w14:paraId="000000D3">
      <w:pPr>
        <w:rPr/>
      </w:pPr>
      <w:r w:rsidDel="00000000" w:rsidR="00000000" w:rsidRPr="00000000">
        <w:rPr>
          <w:rtl w:val="0"/>
        </w:rPr>
      </w:r>
    </w:p>
    <w:p w:rsidR="00000000" w:rsidDel="00000000" w:rsidP="00000000" w:rsidRDefault="00000000" w:rsidRPr="00000000" w14:paraId="000000D4">
      <w:pPr>
        <w:pStyle w:val="Heading2"/>
        <w:rPr>
          <w:rFonts w:ascii="Arial" w:cs="Arial" w:eastAsia="Arial" w:hAnsi="Arial"/>
          <w:highlight w:val="red"/>
        </w:rPr>
      </w:pPr>
      <w:r w:rsidDel="00000000" w:rsidR="00000000" w:rsidRPr="00000000">
        <w:rPr>
          <w:rFonts w:ascii="Arial" w:cs="Arial" w:eastAsia="Arial" w:hAnsi="Arial"/>
          <w:highlight w:val="red"/>
          <w:rtl w:val="0"/>
        </w:rPr>
        <w:t xml:space="preserve">6. Área de Influencia - Posible Nico, algo muy general por ahora</w:t>
      </w:r>
    </w:p>
    <w:p w:rsidR="00000000" w:rsidDel="00000000" w:rsidP="00000000" w:rsidRDefault="00000000" w:rsidRPr="00000000" w14:paraId="000000D5">
      <w:pPr>
        <w:pStyle w:val="Heading3"/>
        <w:rPr>
          <w:rFonts w:ascii="Arial" w:cs="Arial" w:eastAsia="Arial" w:hAnsi="Arial"/>
          <w:highlight w:val="red"/>
        </w:rPr>
      </w:pPr>
      <w:r w:rsidDel="00000000" w:rsidR="00000000" w:rsidRPr="00000000">
        <w:rPr>
          <w:rFonts w:ascii="Arial" w:cs="Arial" w:eastAsia="Arial" w:hAnsi="Arial"/>
          <w:highlight w:val="red"/>
          <w:rtl w:val="0"/>
        </w:rPr>
        <w:t xml:space="preserve">6.1 Área de influencia directa</w:t>
      </w:r>
    </w:p>
    <w:p w:rsidR="00000000" w:rsidDel="00000000" w:rsidP="00000000" w:rsidRDefault="00000000" w:rsidRPr="00000000" w14:paraId="000000D6">
      <w:pPr>
        <w:pStyle w:val="Heading3"/>
        <w:rPr>
          <w:rFonts w:ascii="Arial" w:cs="Arial" w:eastAsia="Arial" w:hAnsi="Arial"/>
          <w:highlight w:val="red"/>
        </w:rPr>
      </w:pPr>
      <w:r w:rsidDel="00000000" w:rsidR="00000000" w:rsidRPr="00000000">
        <w:rPr>
          <w:rFonts w:ascii="Arial" w:cs="Arial" w:eastAsia="Arial" w:hAnsi="Arial"/>
          <w:highlight w:val="red"/>
          <w:rtl w:val="0"/>
        </w:rPr>
        <w:t xml:space="preserve">6.2 Área de influencia indirecta</w:t>
      </w:r>
    </w:p>
    <w:p w:rsidR="00000000" w:rsidDel="00000000" w:rsidP="00000000" w:rsidRDefault="00000000" w:rsidRPr="00000000" w14:paraId="000000D7">
      <w:pPr>
        <w:pStyle w:val="Heading3"/>
        <w:rPr>
          <w:rFonts w:ascii="Arial" w:cs="Arial" w:eastAsia="Arial" w:hAnsi="Arial"/>
          <w:highlight w:val="red"/>
        </w:rPr>
      </w:pPr>
      <w:r w:rsidDel="00000000" w:rsidR="00000000" w:rsidRPr="00000000">
        <w:rPr>
          <w:rFonts w:ascii="Arial" w:cs="Arial" w:eastAsia="Arial" w:hAnsi="Arial"/>
          <w:highlight w:val="red"/>
          <w:rtl w:val="0"/>
        </w:rPr>
        <w:t xml:space="preserve">6.3 Caracterización territorial</w:t>
      </w:r>
    </w:p>
    <w:p w:rsidR="00000000" w:rsidDel="00000000" w:rsidP="00000000" w:rsidRDefault="00000000" w:rsidRPr="00000000" w14:paraId="000000D8">
      <w:pPr>
        <w:pStyle w:val="Heading3"/>
        <w:rPr>
          <w:rFonts w:ascii="Arial" w:cs="Arial" w:eastAsia="Arial" w:hAnsi="Arial"/>
        </w:rPr>
      </w:pPr>
      <w:r w:rsidDel="00000000" w:rsidR="00000000" w:rsidRPr="00000000">
        <w:rPr>
          <w:rFonts w:ascii="Arial" w:cs="Arial" w:eastAsia="Arial" w:hAnsi="Arial"/>
          <w:highlight w:val="red"/>
          <w:rtl w:val="0"/>
        </w:rPr>
        <w:t xml:space="preserve">6.4 Localización propuesta</w:t>
      </w:r>
      <w:r w:rsidDel="00000000" w:rsidR="00000000" w:rsidRPr="00000000">
        <w:rPr>
          <w:rtl w:val="0"/>
        </w:rPr>
      </w:r>
    </w:p>
    <w:p w:rsidR="00000000" w:rsidDel="00000000" w:rsidP="00000000" w:rsidRDefault="00000000" w:rsidRPr="00000000" w14:paraId="000000D9">
      <w:pPr>
        <w:pStyle w:val="Heading2"/>
        <w:rPr>
          <w:rFonts w:ascii="Arial" w:cs="Arial" w:eastAsia="Arial" w:hAnsi="Arial"/>
        </w:rPr>
      </w:pPr>
      <w:r w:rsidDel="00000000" w:rsidR="00000000" w:rsidRPr="00000000">
        <w:rPr>
          <w:rFonts w:ascii="Arial" w:cs="Arial" w:eastAsia="Arial" w:hAnsi="Arial"/>
          <w:rtl w:val="0"/>
        </w:rPr>
        <w:t xml:space="preserve">7. Caracterización de Beneficiarios</w:t>
      </w:r>
    </w:p>
    <w:p w:rsidR="00000000" w:rsidDel="00000000" w:rsidP="00000000" w:rsidRDefault="00000000" w:rsidRPr="00000000" w14:paraId="000000DA">
      <w:pPr>
        <w:pStyle w:val="Heading3"/>
        <w:rPr>
          <w:rFonts w:ascii="Arial" w:cs="Arial" w:eastAsia="Arial" w:hAnsi="Arial"/>
        </w:rPr>
      </w:pPr>
      <w:r w:rsidDel="00000000" w:rsidR="00000000" w:rsidRPr="00000000">
        <w:rPr>
          <w:rFonts w:ascii="Arial" w:cs="Arial" w:eastAsia="Arial" w:hAnsi="Arial"/>
          <w:rtl w:val="0"/>
        </w:rPr>
        <w:t xml:space="preserve">7.1 Beneficiarios directos</w:t>
      </w:r>
    </w:p>
    <w:p w:rsidR="00000000" w:rsidDel="00000000" w:rsidP="00000000" w:rsidRDefault="00000000" w:rsidRPr="00000000" w14:paraId="000000DB">
      <w:pPr>
        <w:pStyle w:val="Heading3"/>
        <w:rPr>
          <w:rFonts w:ascii="Arial" w:cs="Arial" w:eastAsia="Arial" w:hAnsi="Arial"/>
        </w:rPr>
      </w:pPr>
      <w:r w:rsidDel="00000000" w:rsidR="00000000" w:rsidRPr="00000000">
        <w:rPr>
          <w:rFonts w:ascii="Arial" w:cs="Arial" w:eastAsia="Arial" w:hAnsi="Arial"/>
          <w:rtl w:val="0"/>
        </w:rPr>
        <w:t xml:space="preserve">7.2 Beneficiarios indirectos</w:t>
      </w:r>
    </w:p>
    <w:p w:rsidR="00000000" w:rsidDel="00000000" w:rsidP="00000000" w:rsidRDefault="00000000" w:rsidRPr="00000000" w14:paraId="000000DC">
      <w:pPr>
        <w:pStyle w:val="Heading3"/>
        <w:rPr>
          <w:rFonts w:ascii="Arial" w:cs="Arial" w:eastAsia="Arial" w:hAnsi="Arial"/>
        </w:rPr>
      </w:pPr>
      <w:r w:rsidDel="00000000" w:rsidR="00000000" w:rsidRPr="00000000">
        <w:rPr>
          <w:rFonts w:ascii="Arial" w:cs="Arial" w:eastAsia="Arial" w:hAnsi="Arial"/>
          <w:rtl w:val="0"/>
        </w:rPr>
        <w:t xml:space="preserve">7.3 Usuarios potenciales</w:t>
      </w:r>
    </w:p>
    <w:p w:rsidR="00000000" w:rsidDel="00000000" w:rsidP="00000000" w:rsidRDefault="00000000" w:rsidRPr="00000000" w14:paraId="000000DD">
      <w:pPr>
        <w:pStyle w:val="Heading3"/>
        <w:rPr>
          <w:rFonts w:ascii="Arial" w:cs="Arial" w:eastAsia="Arial" w:hAnsi="Arial"/>
        </w:rPr>
      </w:pPr>
      <w:r w:rsidDel="00000000" w:rsidR="00000000" w:rsidRPr="00000000">
        <w:rPr>
          <w:rFonts w:ascii="Arial" w:cs="Arial" w:eastAsia="Arial" w:hAnsi="Arial"/>
          <w:rtl w:val="0"/>
        </w:rPr>
        <w:t xml:space="preserve">7.4 Impactos esperados sobre la población</w:t>
      </w:r>
    </w:p>
    <w:p w:rsidR="00000000" w:rsidDel="00000000" w:rsidP="00000000" w:rsidRDefault="00000000" w:rsidRPr="00000000" w14:paraId="000000DE">
      <w:pPr>
        <w:pStyle w:val="Heading2"/>
        <w:rPr>
          <w:rFonts w:ascii="Arial" w:cs="Arial" w:eastAsia="Arial" w:hAnsi="Arial"/>
        </w:rPr>
      </w:pPr>
      <w:r w:rsidDel="00000000" w:rsidR="00000000" w:rsidRPr="00000000">
        <w:rPr>
          <w:rFonts w:ascii="Arial" w:cs="Arial" w:eastAsia="Arial" w:hAnsi="Arial"/>
          <w:rtl w:val="0"/>
        </w:rPr>
        <w:t xml:space="preserve">8. Oferta y Disponibilidad de Biomasa</w:t>
      </w:r>
    </w:p>
    <w:p w:rsidR="00000000" w:rsidDel="00000000" w:rsidP="00000000" w:rsidRDefault="00000000" w:rsidRPr="00000000" w14:paraId="000000DF">
      <w:pPr>
        <w:spacing w:after="240" w:before="240" w:lineRule="auto"/>
        <w:rPr/>
      </w:pPr>
      <w:r w:rsidDel="00000000" w:rsidR="00000000" w:rsidRPr="00000000">
        <w:rPr>
          <w:rtl w:val="0"/>
        </w:rPr>
        <w:t xml:space="preserve">Bogotá genera una cantidad significativa de residuos orgánicos susceptibles de aprovechamiento.</w:t>
      </w:r>
    </w:p>
    <w:p w:rsidR="00000000" w:rsidDel="00000000" w:rsidP="00000000" w:rsidRDefault="00000000" w:rsidRPr="00000000" w14:paraId="000000E0">
      <w:pPr>
        <w:spacing w:after="240" w:before="240" w:lineRule="auto"/>
        <w:rPr/>
      </w:pPr>
      <w:r w:rsidDel="00000000" w:rsidR="00000000" w:rsidRPr="00000000">
        <w:rPr>
          <w:rtl w:val="0"/>
        </w:rPr>
        <w:t xml:space="preserve">Las proyecciones realizadas por GOPA Infra muestran que para el año 2025 la ciudad generará aproximadamente 1,5 millones de toneladas anuales de residuos orgánicos, cifra que podría superar los 2 millones de toneladas anuales para el año 2040. </w:t>
      </w:r>
      <w:r w:rsidDel="00000000" w:rsidR="00000000" w:rsidRPr="00000000">
        <w:rPr>
          <w:rtl w:val="0"/>
        </w:rPr>
      </w:r>
    </w:p>
    <w:p w:rsidR="00000000" w:rsidDel="00000000" w:rsidP="00000000" w:rsidRDefault="00000000" w:rsidRPr="00000000" w14:paraId="000000E1">
      <w:pPr>
        <w:pStyle w:val="Heading3"/>
        <w:rPr>
          <w:rFonts w:ascii="Arial" w:cs="Arial" w:eastAsia="Arial" w:hAnsi="Arial"/>
        </w:rPr>
      </w:pPr>
      <w:r w:rsidDel="00000000" w:rsidR="00000000" w:rsidRPr="00000000">
        <w:rPr>
          <w:rFonts w:ascii="Arial" w:cs="Arial" w:eastAsia="Arial" w:hAnsi="Arial"/>
          <w:rtl w:val="0"/>
        </w:rPr>
        <w:t xml:space="preserve">8.1 Fuentes de residuos orgánicos</w:t>
      </w:r>
    </w:p>
    <w:p w:rsidR="00000000" w:rsidDel="00000000" w:rsidP="00000000" w:rsidRDefault="00000000" w:rsidRPr="00000000" w14:paraId="000000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Bogotá cuenta con múltiples corrientes de biomasa susceptibles de aprovechamiento:</w:t>
      </w:r>
    </w:p>
    <w:p w:rsidR="00000000" w:rsidDel="00000000" w:rsidP="00000000" w:rsidRDefault="00000000" w:rsidRPr="00000000" w14:paraId="000000E3">
      <w:pPr>
        <w:pStyle w:val="Heading3"/>
        <w:jc w:val="both"/>
        <w:rPr>
          <w:rFonts w:ascii="Arial" w:cs="Arial" w:eastAsia="Arial" w:hAnsi="Arial"/>
          <w:b w:val="1"/>
          <w:bCs w:val="1"/>
          <w:color w:val="000000"/>
          <w:sz w:val="24"/>
          <w:szCs w:val="24"/>
        </w:rPr>
      </w:pPr>
      <w:r w:rsidDel="00000000" w:rsidR="00000000" w:rsidRPr="00000000">
        <w:rPr>
          <w:rFonts w:ascii="Arial" w:cs="Arial" w:eastAsia="Arial" w:hAnsi="Arial"/>
          <w:b w:val="1"/>
          <w:bCs w:val="1"/>
          <w:color w:val="000000"/>
          <w:sz w:val="24"/>
          <w:szCs w:val="24"/>
          <w:rtl w:val="0"/>
        </w:rPr>
        <w:t xml:space="preserve">Plazas de mercado</w:t>
      </w:r>
    </w:p>
    <w:p w:rsidR="00000000" w:rsidDel="00000000" w:rsidP="00000000" w:rsidRDefault="00000000" w:rsidRPr="00000000" w14:paraId="000000E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Las plazas de mercado constituyen una de las fuentes más concentradas de residuos orgánicos.</w:t>
      </w:r>
    </w:p>
    <w:p w:rsidR="00000000" w:rsidDel="00000000" w:rsidP="00000000" w:rsidRDefault="00000000" w:rsidRPr="00000000" w14:paraId="000000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Entre las principales se encuentran:</w:t>
      </w:r>
    </w:p>
    <w:p w:rsidR="00000000" w:rsidDel="00000000" w:rsidP="00000000" w:rsidRDefault="00000000" w:rsidRPr="00000000" w14:paraId="000000E6">
      <w:pPr>
        <w:numPr>
          <w:ilvl w:val="0"/>
          <w:numId w:val="14"/>
        </w:numPr>
        <w:spacing w:after="0" w:before="280" w:lineRule="auto"/>
        <w:ind w:left="72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Corabastos.</w:t>
      </w:r>
    </w:p>
    <w:p w:rsidR="00000000" w:rsidDel="00000000" w:rsidP="00000000" w:rsidRDefault="00000000" w:rsidRPr="00000000" w14:paraId="000000E7">
      <w:pPr>
        <w:numPr>
          <w:ilvl w:val="0"/>
          <w:numId w:val="14"/>
        </w:numPr>
        <w:spacing w:after="0" w:before="0" w:lineRule="auto"/>
        <w:ind w:left="72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Paloquemao.</w:t>
      </w:r>
    </w:p>
    <w:p w:rsidR="00000000" w:rsidDel="00000000" w:rsidP="00000000" w:rsidRDefault="00000000" w:rsidRPr="00000000" w14:paraId="000000E8">
      <w:pPr>
        <w:numPr>
          <w:ilvl w:val="0"/>
          <w:numId w:val="14"/>
        </w:numPr>
        <w:spacing w:after="0" w:before="0" w:lineRule="auto"/>
        <w:ind w:left="72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Codabas.</w:t>
      </w:r>
    </w:p>
    <w:p w:rsidR="00000000" w:rsidDel="00000000" w:rsidP="00000000" w:rsidRDefault="00000000" w:rsidRPr="00000000" w14:paraId="000000E9">
      <w:pPr>
        <w:numPr>
          <w:ilvl w:val="0"/>
          <w:numId w:val="14"/>
        </w:numPr>
        <w:spacing w:after="280" w:before="0" w:lineRule="auto"/>
        <w:ind w:left="72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Plazas distritales.</w:t>
      </w:r>
    </w:p>
    <w:p w:rsidR="00000000" w:rsidDel="00000000" w:rsidP="00000000" w:rsidRDefault="00000000" w:rsidRPr="00000000" w14:paraId="000000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Estas instalaciones generan residuos con alta biodegradabilidad y bajo nivel de contaminación.</w:t>
      </w:r>
    </w:p>
    <w:p w:rsidR="00000000" w:rsidDel="00000000" w:rsidP="00000000" w:rsidRDefault="00000000" w:rsidRPr="00000000" w14:paraId="000000EB">
      <w:pPr>
        <w:pStyle w:val="Heading3"/>
        <w:jc w:val="both"/>
        <w:rPr>
          <w:rFonts w:ascii="Arial" w:cs="Arial" w:eastAsia="Arial" w:hAnsi="Arial"/>
          <w:b w:val="1"/>
          <w:bCs w:val="1"/>
          <w:color w:val="000000"/>
          <w:sz w:val="24"/>
          <w:szCs w:val="24"/>
        </w:rPr>
      </w:pPr>
      <w:r w:rsidDel="00000000" w:rsidR="00000000" w:rsidRPr="00000000">
        <w:rPr>
          <w:rFonts w:ascii="Arial" w:cs="Arial" w:eastAsia="Arial" w:hAnsi="Arial"/>
          <w:b w:val="1"/>
          <w:bCs w:val="1"/>
          <w:color w:val="000000"/>
          <w:sz w:val="24"/>
          <w:szCs w:val="24"/>
          <w:rtl w:val="0"/>
        </w:rPr>
        <w:t xml:space="preserve">Sector gastronómico</w:t>
      </w:r>
    </w:p>
    <w:p w:rsidR="00000000" w:rsidDel="00000000" w:rsidP="00000000" w:rsidRDefault="00000000" w:rsidRPr="00000000" w14:paraId="000000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Incluye:</w:t>
      </w:r>
    </w:p>
    <w:p w:rsidR="00000000" w:rsidDel="00000000" w:rsidP="00000000" w:rsidRDefault="00000000" w:rsidRPr="00000000" w14:paraId="000000ED">
      <w:pPr>
        <w:numPr>
          <w:ilvl w:val="0"/>
          <w:numId w:val="15"/>
        </w:numPr>
        <w:spacing w:after="0" w:before="280" w:lineRule="auto"/>
        <w:ind w:left="72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Restaurantes.</w:t>
      </w:r>
    </w:p>
    <w:p w:rsidR="00000000" w:rsidDel="00000000" w:rsidP="00000000" w:rsidRDefault="00000000" w:rsidRPr="00000000" w14:paraId="000000EE">
      <w:pPr>
        <w:numPr>
          <w:ilvl w:val="0"/>
          <w:numId w:val="15"/>
        </w:numPr>
        <w:spacing w:after="0" w:before="0" w:lineRule="auto"/>
        <w:ind w:left="72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Casinos.</w:t>
      </w:r>
    </w:p>
    <w:p w:rsidR="00000000" w:rsidDel="00000000" w:rsidP="00000000" w:rsidRDefault="00000000" w:rsidRPr="00000000" w14:paraId="000000EF">
      <w:pPr>
        <w:numPr>
          <w:ilvl w:val="0"/>
          <w:numId w:val="15"/>
        </w:numPr>
        <w:spacing w:after="0" w:before="0" w:lineRule="auto"/>
        <w:ind w:left="72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Hoteles.</w:t>
      </w:r>
    </w:p>
    <w:p w:rsidR="00000000" w:rsidDel="00000000" w:rsidP="00000000" w:rsidRDefault="00000000" w:rsidRPr="00000000" w14:paraId="000000F0">
      <w:pPr>
        <w:numPr>
          <w:ilvl w:val="0"/>
          <w:numId w:val="15"/>
        </w:numPr>
        <w:spacing w:after="0" w:before="0" w:lineRule="auto"/>
        <w:ind w:left="72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Centros comerciales.</w:t>
      </w:r>
    </w:p>
    <w:p w:rsidR="00000000" w:rsidDel="00000000" w:rsidP="00000000" w:rsidRDefault="00000000" w:rsidRPr="00000000" w14:paraId="000000F1">
      <w:pPr>
        <w:numPr>
          <w:ilvl w:val="0"/>
          <w:numId w:val="15"/>
        </w:numPr>
        <w:spacing w:after="280" w:before="0" w:lineRule="auto"/>
        <w:ind w:left="72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Grandes superficies.</w:t>
      </w:r>
    </w:p>
    <w:p w:rsidR="00000000" w:rsidDel="00000000" w:rsidP="00000000" w:rsidRDefault="00000000" w:rsidRPr="00000000" w14:paraId="000000F2">
      <w:pPr>
        <w:pStyle w:val="Heading3"/>
        <w:jc w:val="both"/>
        <w:rPr>
          <w:rFonts w:ascii="Arial" w:cs="Arial" w:eastAsia="Arial" w:hAnsi="Arial"/>
          <w:b w:val="1"/>
          <w:bCs w:val="1"/>
          <w:color w:val="000000"/>
          <w:sz w:val="24"/>
          <w:szCs w:val="24"/>
        </w:rPr>
      </w:pPr>
      <w:r w:rsidDel="00000000" w:rsidR="00000000" w:rsidRPr="00000000">
        <w:rPr>
          <w:rFonts w:ascii="Arial" w:cs="Arial" w:eastAsia="Arial" w:hAnsi="Arial"/>
          <w:b w:val="1"/>
          <w:bCs w:val="1"/>
          <w:color w:val="000000"/>
          <w:sz w:val="24"/>
          <w:szCs w:val="24"/>
          <w:rtl w:val="0"/>
        </w:rPr>
        <w:t xml:space="preserve">Sector institucional</w:t>
      </w:r>
    </w:p>
    <w:p w:rsidR="00000000" w:rsidDel="00000000" w:rsidP="00000000" w:rsidRDefault="00000000" w:rsidRPr="00000000" w14:paraId="000000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Incluye:</w:t>
      </w:r>
    </w:p>
    <w:p w:rsidR="00000000" w:rsidDel="00000000" w:rsidP="00000000" w:rsidRDefault="00000000" w:rsidRPr="00000000" w14:paraId="000000F4">
      <w:pPr>
        <w:numPr>
          <w:ilvl w:val="0"/>
          <w:numId w:val="6"/>
        </w:numPr>
        <w:spacing w:after="0" w:before="280" w:lineRule="auto"/>
        <w:ind w:left="72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Universidades.</w:t>
      </w:r>
    </w:p>
    <w:p w:rsidR="00000000" w:rsidDel="00000000" w:rsidP="00000000" w:rsidRDefault="00000000" w:rsidRPr="00000000" w14:paraId="000000F5">
      <w:pPr>
        <w:numPr>
          <w:ilvl w:val="0"/>
          <w:numId w:val="6"/>
        </w:numPr>
        <w:spacing w:after="0" w:before="0" w:lineRule="auto"/>
        <w:ind w:left="72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Hospitales.</w:t>
      </w:r>
    </w:p>
    <w:p w:rsidR="00000000" w:rsidDel="00000000" w:rsidP="00000000" w:rsidRDefault="00000000" w:rsidRPr="00000000" w14:paraId="000000F6">
      <w:pPr>
        <w:numPr>
          <w:ilvl w:val="0"/>
          <w:numId w:val="6"/>
        </w:numPr>
        <w:spacing w:after="0" w:before="0" w:lineRule="auto"/>
        <w:ind w:left="72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Entidades públicas.</w:t>
      </w:r>
    </w:p>
    <w:p w:rsidR="00000000" w:rsidDel="00000000" w:rsidP="00000000" w:rsidRDefault="00000000" w:rsidRPr="00000000" w14:paraId="000000F7">
      <w:pPr>
        <w:numPr>
          <w:ilvl w:val="0"/>
          <w:numId w:val="6"/>
        </w:numPr>
        <w:spacing w:after="280" w:before="0" w:lineRule="auto"/>
        <w:ind w:left="72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Centros educativos.</w:t>
      </w:r>
    </w:p>
    <w:p w:rsidR="00000000" w:rsidDel="00000000" w:rsidP="00000000" w:rsidRDefault="00000000" w:rsidRPr="00000000" w14:paraId="000000F8">
      <w:pPr>
        <w:pStyle w:val="Heading3"/>
        <w:jc w:val="both"/>
        <w:rPr>
          <w:rFonts w:ascii="Arial" w:cs="Arial" w:eastAsia="Arial" w:hAnsi="Arial"/>
          <w:b w:val="1"/>
          <w:bCs w:val="1"/>
          <w:color w:val="000000"/>
          <w:sz w:val="24"/>
          <w:szCs w:val="24"/>
        </w:rPr>
      </w:pPr>
      <w:r w:rsidDel="00000000" w:rsidR="00000000" w:rsidRPr="00000000">
        <w:rPr>
          <w:rFonts w:ascii="Arial" w:cs="Arial" w:eastAsia="Arial" w:hAnsi="Arial"/>
          <w:b w:val="1"/>
          <w:bCs w:val="1"/>
          <w:color w:val="000000"/>
          <w:sz w:val="24"/>
          <w:szCs w:val="24"/>
          <w:rtl w:val="0"/>
        </w:rPr>
        <w:t xml:space="preserve">Residuos verdes</w:t>
      </w:r>
    </w:p>
    <w:p w:rsidR="00000000" w:rsidDel="00000000" w:rsidP="00000000" w:rsidRDefault="00000000" w:rsidRPr="00000000" w14:paraId="000000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Procedentes de:</w:t>
      </w:r>
    </w:p>
    <w:p w:rsidR="00000000" w:rsidDel="00000000" w:rsidP="00000000" w:rsidRDefault="00000000" w:rsidRPr="00000000" w14:paraId="000000FA">
      <w:pPr>
        <w:numPr>
          <w:ilvl w:val="0"/>
          <w:numId w:val="7"/>
        </w:numPr>
        <w:spacing w:after="0" w:before="280" w:lineRule="auto"/>
        <w:ind w:left="72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Podas urbanas.</w:t>
      </w:r>
    </w:p>
    <w:p w:rsidR="00000000" w:rsidDel="00000000" w:rsidP="00000000" w:rsidRDefault="00000000" w:rsidRPr="00000000" w14:paraId="000000FB">
      <w:pPr>
        <w:numPr>
          <w:ilvl w:val="0"/>
          <w:numId w:val="7"/>
        </w:numPr>
        <w:spacing w:after="0" w:before="0" w:lineRule="auto"/>
        <w:ind w:left="72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Mantenimiento de parques.</w:t>
      </w:r>
    </w:p>
    <w:p w:rsidR="00000000" w:rsidDel="00000000" w:rsidP="00000000" w:rsidRDefault="00000000" w:rsidRPr="00000000" w14:paraId="000000FC">
      <w:pPr>
        <w:numPr>
          <w:ilvl w:val="0"/>
          <w:numId w:val="7"/>
        </w:numPr>
        <w:spacing w:after="280" w:before="0" w:lineRule="auto"/>
        <w:ind w:left="72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Zonas verdes.</w:t>
      </w:r>
    </w:p>
    <w:p w:rsidR="00000000" w:rsidDel="00000000" w:rsidP="00000000" w:rsidRDefault="00000000" w:rsidRPr="00000000" w14:paraId="000000FD">
      <w:pPr>
        <w:pStyle w:val="Heading3"/>
        <w:rPr>
          <w:rFonts w:ascii="Arial" w:cs="Arial" w:eastAsia="Arial" w:hAnsi="Arial"/>
        </w:rPr>
      </w:pPr>
      <w:r w:rsidDel="00000000" w:rsidR="00000000" w:rsidRPr="00000000">
        <w:rPr>
          <w:rFonts w:ascii="Arial" w:cs="Arial" w:eastAsia="Arial" w:hAnsi="Arial"/>
          <w:rtl w:val="0"/>
        </w:rPr>
        <w:t xml:space="preserve">8.2 Cuantificación de residuos</w:t>
      </w:r>
    </w:p>
    <w:p w:rsidR="00000000" w:rsidDel="00000000" w:rsidP="00000000" w:rsidRDefault="00000000" w:rsidRPr="00000000" w14:paraId="000000FE">
      <w:pPr>
        <w:spacing w:after="240" w:before="240" w:lineRule="auto"/>
        <w:rPr>
          <w:color w:val="ff0000"/>
        </w:rPr>
      </w:pPr>
      <w:r w:rsidDel="00000000" w:rsidR="00000000" w:rsidRPr="00000000">
        <w:rPr>
          <w:color w:val="ff0000"/>
          <w:rtl w:val="0"/>
        </w:rPr>
        <w:t xml:space="preserve">Considerando únicamente una captación inicial del 5 % de los residuos orgánicos generados en Bogotá:</w:t>
      </w:r>
    </w:p>
    <w:p w:rsidR="00000000" w:rsidDel="00000000" w:rsidP="00000000" w:rsidRDefault="00000000" w:rsidRPr="00000000" w14:paraId="000000FF">
      <w:pPr>
        <w:spacing w:after="240" w:before="240" w:lineRule="auto"/>
        <w:rPr>
          <w:color w:val="ff0000"/>
        </w:rPr>
      </w:pPr>
      <w:r w:rsidDel="00000000" w:rsidR="00000000" w:rsidRPr="00000000">
        <w:rPr>
          <w:color w:val="ff0000"/>
          <w:rtl w:val="0"/>
        </w:rPr>
        <w:t xml:space="preserve">1.504.662 t/año × 5 %</w:t>
      </w:r>
    </w:p>
    <w:p w:rsidR="00000000" w:rsidDel="00000000" w:rsidP="00000000" w:rsidRDefault="00000000" w:rsidRPr="00000000" w14:paraId="00000100">
      <w:pPr>
        <w:spacing w:after="240" w:before="240" w:lineRule="auto"/>
        <w:rPr>
          <w:color w:val="ff0000"/>
        </w:rPr>
      </w:pPr>
      <w:r w:rsidDel="00000000" w:rsidR="00000000" w:rsidRPr="00000000">
        <w:rPr>
          <w:color w:val="ff0000"/>
          <w:rtl w:val="0"/>
        </w:rPr>
        <w:t xml:space="preserve">≈ 75.233 t/año</w:t>
      </w:r>
    </w:p>
    <w:p w:rsidR="00000000" w:rsidDel="00000000" w:rsidP="00000000" w:rsidRDefault="00000000" w:rsidRPr="00000000" w14:paraId="00000101">
      <w:pPr>
        <w:spacing w:after="240" w:before="240" w:lineRule="auto"/>
        <w:rPr>
          <w:color w:val="ff0000"/>
        </w:rPr>
      </w:pPr>
      <w:r w:rsidDel="00000000" w:rsidR="00000000" w:rsidRPr="00000000">
        <w:rPr>
          <w:color w:val="ff0000"/>
          <w:rtl w:val="0"/>
        </w:rPr>
        <w:t xml:space="preserve">≈ 206 t/día</w:t>
      </w:r>
    </w:p>
    <w:p w:rsidR="00000000" w:rsidDel="00000000" w:rsidP="00000000" w:rsidRDefault="00000000" w:rsidRPr="00000000" w14:paraId="00000102">
      <w:pPr>
        <w:spacing w:after="240" w:before="240" w:lineRule="auto"/>
        <w:rPr>
          <w:color w:val="ff0000"/>
        </w:rPr>
      </w:pPr>
      <w:r w:rsidDel="00000000" w:rsidR="00000000" w:rsidRPr="00000000">
        <w:rPr>
          <w:color w:val="ff0000"/>
          <w:rtl w:val="0"/>
        </w:rPr>
        <w:t xml:space="preserve">Este volumen es suficiente para justificar técnica y económicamente una planta de digestión anaerobia de escala intermedia.</w:t>
      </w:r>
    </w:p>
    <w:p w:rsidR="00000000" w:rsidDel="00000000" w:rsidP="00000000" w:rsidRDefault="00000000" w:rsidRPr="00000000" w14:paraId="00000103">
      <w:pPr>
        <w:rPr/>
      </w:pPr>
      <w:r w:rsidDel="00000000" w:rsidR="00000000" w:rsidRPr="00000000">
        <w:rPr>
          <w:rtl w:val="0"/>
        </w:rPr>
      </w:r>
    </w:p>
    <w:p w:rsidR="00000000" w:rsidDel="00000000" w:rsidP="00000000" w:rsidRDefault="00000000" w:rsidRPr="00000000" w14:paraId="00000104">
      <w:pPr>
        <w:pStyle w:val="Heading3"/>
        <w:rPr>
          <w:rFonts w:ascii="Arial" w:cs="Arial" w:eastAsia="Arial" w:hAnsi="Arial"/>
        </w:rPr>
      </w:pPr>
      <w:r w:rsidDel="00000000" w:rsidR="00000000" w:rsidRPr="00000000">
        <w:rPr>
          <w:rFonts w:ascii="Arial" w:cs="Arial" w:eastAsia="Arial" w:hAnsi="Arial"/>
          <w:rtl w:val="0"/>
        </w:rPr>
        <w:t xml:space="preserve">8.3 Caracterización físico-química</w:t>
      </w:r>
    </w:p>
    <w:p w:rsidR="00000000" w:rsidDel="00000000" w:rsidP="00000000" w:rsidRDefault="00000000" w:rsidRPr="00000000" w14:paraId="00000105">
      <w:pPr>
        <w:pStyle w:val="Heading3"/>
        <w:rPr>
          <w:rFonts w:ascii="Arial" w:cs="Arial" w:eastAsia="Arial" w:hAnsi="Arial"/>
        </w:rPr>
      </w:pPr>
      <w:r w:rsidDel="00000000" w:rsidR="00000000" w:rsidRPr="00000000">
        <w:rPr>
          <w:rFonts w:ascii="Arial" w:cs="Arial" w:eastAsia="Arial" w:hAnsi="Arial"/>
          <w:rtl w:val="0"/>
        </w:rPr>
        <w:t xml:space="preserve">8.4 Potencial de generación de biogás</w:t>
      </w:r>
    </w:p>
    <w:p w:rsidR="00000000" w:rsidDel="00000000" w:rsidP="00000000" w:rsidRDefault="00000000" w:rsidRPr="00000000" w14:paraId="00000106">
      <w:pPr>
        <w:pStyle w:val="Heading2"/>
        <w:rPr>
          <w:rFonts w:ascii="Arial" w:cs="Arial" w:eastAsia="Arial" w:hAnsi="Arial"/>
        </w:rPr>
      </w:pPr>
      <w:r w:rsidDel="00000000" w:rsidR="00000000" w:rsidRPr="00000000">
        <w:rPr>
          <w:rFonts w:ascii="Arial" w:cs="Arial" w:eastAsia="Arial" w:hAnsi="Arial"/>
          <w:rtl w:val="0"/>
        </w:rPr>
        <w:t xml:space="preserve">9. Estudio Técnico</w:t>
      </w:r>
    </w:p>
    <w:p w:rsidR="00000000" w:rsidDel="00000000" w:rsidP="00000000" w:rsidRDefault="00000000" w:rsidRPr="00000000" w14:paraId="00000107">
      <w:pPr>
        <w:pStyle w:val="Heading3"/>
        <w:rPr>
          <w:rFonts w:ascii="Arial" w:cs="Arial" w:eastAsia="Arial" w:hAnsi="Arial"/>
        </w:rPr>
      </w:pPr>
      <w:r w:rsidDel="00000000" w:rsidR="00000000" w:rsidRPr="00000000">
        <w:rPr>
          <w:rFonts w:ascii="Arial" w:cs="Arial" w:eastAsia="Arial" w:hAnsi="Arial"/>
          <w:rtl w:val="0"/>
        </w:rPr>
        <w:t xml:space="preserve">9.1 Capacidad de diseño</w:t>
      </w:r>
    </w:p>
    <w:p w:rsidR="00000000" w:rsidDel="00000000" w:rsidP="00000000" w:rsidRDefault="00000000" w:rsidRPr="00000000" w14:paraId="00000108">
      <w:pPr>
        <w:pStyle w:val="Heading3"/>
        <w:rPr>
          <w:rFonts w:ascii="Arial" w:cs="Arial" w:eastAsia="Arial" w:hAnsi="Arial"/>
        </w:rPr>
      </w:pPr>
      <w:r w:rsidDel="00000000" w:rsidR="00000000" w:rsidRPr="00000000">
        <w:rPr>
          <w:rFonts w:ascii="Arial" w:cs="Arial" w:eastAsia="Arial" w:hAnsi="Arial"/>
          <w:rtl w:val="0"/>
        </w:rPr>
        <w:t xml:space="preserve">9.2 Balance de masa</w:t>
      </w:r>
    </w:p>
    <w:p w:rsidR="00000000" w:rsidDel="00000000" w:rsidP="00000000" w:rsidRDefault="00000000" w:rsidRPr="00000000" w14:paraId="00000109">
      <w:pPr>
        <w:pStyle w:val="Heading3"/>
        <w:rPr>
          <w:rFonts w:ascii="Arial" w:cs="Arial" w:eastAsia="Arial" w:hAnsi="Arial"/>
        </w:rPr>
      </w:pPr>
      <w:r w:rsidDel="00000000" w:rsidR="00000000" w:rsidRPr="00000000">
        <w:rPr>
          <w:rFonts w:ascii="Arial" w:cs="Arial" w:eastAsia="Arial" w:hAnsi="Arial"/>
          <w:rtl w:val="0"/>
        </w:rPr>
        <w:t xml:space="preserve">9.3 Balance energético</w:t>
      </w:r>
    </w:p>
    <w:p w:rsidR="00000000" w:rsidDel="00000000" w:rsidP="00000000" w:rsidRDefault="00000000" w:rsidRPr="00000000" w14:paraId="0000010A">
      <w:pPr>
        <w:pStyle w:val="Heading3"/>
        <w:rPr>
          <w:rFonts w:ascii="Arial" w:cs="Arial" w:eastAsia="Arial" w:hAnsi="Arial"/>
        </w:rPr>
      </w:pPr>
      <w:r w:rsidDel="00000000" w:rsidR="00000000" w:rsidRPr="00000000">
        <w:rPr>
          <w:rFonts w:ascii="Arial" w:cs="Arial" w:eastAsia="Arial" w:hAnsi="Arial"/>
          <w:rtl w:val="0"/>
        </w:rPr>
        <w:t xml:space="preserve">9.4 Producción estimada de biogás</w:t>
      </w:r>
    </w:p>
    <w:p w:rsidR="00000000" w:rsidDel="00000000" w:rsidP="00000000" w:rsidRDefault="00000000" w:rsidRPr="00000000" w14:paraId="0000010B">
      <w:pPr>
        <w:pStyle w:val="Heading3"/>
        <w:rPr>
          <w:rFonts w:ascii="Arial" w:cs="Arial" w:eastAsia="Arial" w:hAnsi="Arial"/>
        </w:rPr>
      </w:pPr>
      <w:r w:rsidDel="00000000" w:rsidR="00000000" w:rsidRPr="00000000">
        <w:rPr>
          <w:rFonts w:ascii="Arial" w:cs="Arial" w:eastAsia="Arial" w:hAnsi="Arial"/>
          <w:rtl w:val="0"/>
        </w:rPr>
        <w:t xml:space="preserve">9.5 Producción estimada de digestato</w:t>
      </w:r>
    </w:p>
    <w:p w:rsidR="00000000" w:rsidDel="00000000" w:rsidP="00000000" w:rsidRDefault="00000000" w:rsidRPr="00000000" w14:paraId="0000010C">
      <w:pPr>
        <w:pStyle w:val="Heading3"/>
        <w:rPr>
          <w:rFonts w:ascii="Arial" w:cs="Arial" w:eastAsia="Arial" w:hAnsi="Arial"/>
        </w:rPr>
      </w:pPr>
      <w:r w:rsidDel="00000000" w:rsidR="00000000" w:rsidRPr="00000000">
        <w:rPr>
          <w:rFonts w:ascii="Arial" w:cs="Arial" w:eastAsia="Arial" w:hAnsi="Arial"/>
          <w:rtl w:val="0"/>
        </w:rPr>
        <w:t xml:space="preserve">9.6 Requerimientos de infraestructura </w:t>
      </w:r>
      <w:r w:rsidDel="00000000" w:rsidR="00000000" w:rsidRPr="00000000">
        <w:rPr>
          <w:rFonts w:ascii="Arial" w:cs="Arial" w:eastAsia="Arial" w:hAnsi="Arial"/>
          <w:color w:val="ee0000"/>
          <w:rtl w:val="0"/>
        </w:rPr>
        <w:t xml:space="preserve">- NICO</w:t>
      </w:r>
      <w:r w:rsidDel="00000000" w:rsidR="00000000" w:rsidRPr="00000000">
        <w:rPr>
          <w:rtl w:val="0"/>
        </w:rPr>
      </w:r>
    </w:p>
    <w:p w:rsidR="00000000" w:rsidDel="00000000" w:rsidP="00000000" w:rsidRDefault="00000000" w:rsidRPr="00000000" w14:paraId="0000010D">
      <w:pPr>
        <w:pStyle w:val="Heading3"/>
        <w:rPr>
          <w:rFonts w:ascii="Arial" w:cs="Arial" w:eastAsia="Arial" w:hAnsi="Arial"/>
        </w:rPr>
      </w:pPr>
      <w:r w:rsidDel="00000000" w:rsidR="00000000" w:rsidRPr="00000000">
        <w:rPr>
          <w:rFonts w:ascii="Arial" w:cs="Arial" w:eastAsia="Arial" w:hAnsi="Arial"/>
          <w:rtl w:val="0"/>
        </w:rPr>
        <w:t xml:space="preserve">9.7 Requerimientos tecnológicos</w:t>
      </w:r>
    </w:p>
    <w:p w:rsidR="00000000" w:rsidDel="00000000" w:rsidP="00000000" w:rsidRDefault="00000000" w:rsidRPr="00000000" w14:paraId="0000010E">
      <w:pPr>
        <w:rPr>
          <w:rFonts w:ascii="Arial" w:cs="Arial" w:eastAsia="Arial" w:hAnsi="Arial"/>
        </w:rPr>
      </w:pPr>
      <w:r w:rsidDel="00000000" w:rsidR="00000000" w:rsidRPr="00000000">
        <w:rPr>
          <w:rtl w:val="0"/>
        </w:rPr>
      </w:r>
    </w:p>
    <w:p w:rsidR="00000000" w:rsidDel="00000000" w:rsidP="00000000" w:rsidRDefault="00000000" w:rsidRPr="00000000" w14:paraId="0000010F">
      <w:pPr>
        <w:pStyle w:val="Heading2"/>
        <w:rPr>
          <w:rFonts w:ascii="Arial" w:cs="Arial" w:eastAsia="Arial" w:hAnsi="Arial"/>
        </w:rPr>
      </w:pPr>
      <w:r w:rsidDel="00000000" w:rsidR="00000000" w:rsidRPr="00000000">
        <w:rPr>
          <w:rFonts w:ascii="Arial" w:cs="Arial" w:eastAsia="Arial" w:hAnsi="Arial"/>
          <w:rtl w:val="0"/>
        </w:rPr>
        <w:t xml:space="preserve">10. Estudio de Mercado</w:t>
      </w:r>
    </w:p>
    <w:p w:rsidR="00000000" w:rsidDel="00000000" w:rsidP="00000000" w:rsidRDefault="00000000" w:rsidRPr="00000000" w14:paraId="00000110">
      <w:pPr>
        <w:pStyle w:val="Heading3"/>
        <w:rPr>
          <w:rFonts w:ascii="Arial" w:cs="Arial" w:eastAsia="Arial" w:hAnsi="Arial"/>
        </w:rPr>
      </w:pPr>
      <w:r w:rsidDel="00000000" w:rsidR="00000000" w:rsidRPr="00000000">
        <w:rPr>
          <w:rFonts w:ascii="Arial" w:cs="Arial" w:eastAsia="Arial" w:hAnsi="Arial"/>
          <w:rtl w:val="0"/>
        </w:rPr>
        <w:t xml:space="preserve">10.1 Mercado del biogás</w:t>
      </w:r>
    </w:p>
    <w:p w:rsidR="00000000" w:rsidDel="00000000" w:rsidP="00000000" w:rsidRDefault="00000000" w:rsidRPr="00000000" w14:paraId="00000111">
      <w:pPr>
        <w:pStyle w:val="Heading3"/>
        <w:rPr>
          <w:rFonts w:ascii="Arial" w:cs="Arial" w:eastAsia="Arial" w:hAnsi="Arial"/>
        </w:rPr>
      </w:pPr>
      <w:r w:rsidDel="00000000" w:rsidR="00000000" w:rsidRPr="00000000">
        <w:rPr>
          <w:rFonts w:ascii="Arial" w:cs="Arial" w:eastAsia="Arial" w:hAnsi="Arial"/>
          <w:rtl w:val="0"/>
        </w:rPr>
        <w:t xml:space="preserve">10.2 Mercado del biometano</w:t>
      </w:r>
    </w:p>
    <w:p w:rsidR="00000000" w:rsidDel="00000000" w:rsidP="00000000" w:rsidRDefault="00000000" w:rsidRPr="00000000" w14:paraId="00000112">
      <w:pPr>
        <w:pStyle w:val="Heading3"/>
        <w:rPr>
          <w:rFonts w:ascii="Arial" w:cs="Arial" w:eastAsia="Arial" w:hAnsi="Arial"/>
        </w:rPr>
      </w:pPr>
      <w:r w:rsidDel="00000000" w:rsidR="00000000" w:rsidRPr="00000000">
        <w:rPr>
          <w:rFonts w:ascii="Arial" w:cs="Arial" w:eastAsia="Arial" w:hAnsi="Arial"/>
          <w:rtl w:val="0"/>
        </w:rPr>
        <w:t xml:space="preserve">10.3 Mercado de energía eléctrica</w:t>
      </w:r>
    </w:p>
    <w:p w:rsidR="00000000" w:rsidDel="00000000" w:rsidP="00000000" w:rsidRDefault="00000000" w:rsidRPr="00000000" w14:paraId="00000113">
      <w:pPr>
        <w:pStyle w:val="Heading3"/>
        <w:rPr>
          <w:rFonts w:ascii="Arial" w:cs="Arial" w:eastAsia="Arial" w:hAnsi="Arial"/>
        </w:rPr>
      </w:pPr>
      <w:r w:rsidDel="00000000" w:rsidR="00000000" w:rsidRPr="00000000">
        <w:rPr>
          <w:rFonts w:ascii="Arial" w:cs="Arial" w:eastAsia="Arial" w:hAnsi="Arial"/>
          <w:rtl w:val="0"/>
        </w:rPr>
        <w:t xml:space="preserve">10.4 Mercado del digestato</w:t>
      </w:r>
    </w:p>
    <w:p w:rsidR="00000000" w:rsidDel="00000000" w:rsidP="00000000" w:rsidRDefault="00000000" w:rsidRPr="00000000" w14:paraId="00000114">
      <w:pPr>
        <w:pStyle w:val="Heading3"/>
        <w:rPr>
          <w:rFonts w:ascii="Arial" w:cs="Arial" w:eastAsia="Arial" w:hAnsi="Arial"/>
        </w:rPr>
      </w:pPr>
      <w:r w:rsidDel="00000000" w:rsidR="00000000" w:rsidRPr="00000000">
        <w:rPr>
          <w:rFonts w:ascii="Arial" w:cs="Arial" w:eastAsia="Arial" w:hAnsi="Arial"/>
          <w:rtl w:val="0"/>
        </w:rPr>
        <w:t xml:space="preserve">10.5 Estrategia comercial</w:t>
      </w:r>
    </w:p>
    <w:p w:rsidR="00000000" w:rsidDel="00000000" w:rsidP="00000000" w:rsidRDefault="00000000" w:rsidRPr="00000000" w14:paraId="00000115">
      <w:pPr>
        <w:rPr>
          <w:rFonts w:ascii="Arial" w:cs="Arial" w:eastAsia="Arial" w:hAnsi="Arial"/>
        </w:rPr>
      </w:pPr>
      <w:r w:rsidDel="00000000" w:rsidR="00000000" w:rsidRPr="00000000">
        <w:rPr>
          <w:rtl w:val="0"/>
        </w:rPr>
      </w:r>
    </w:p>
    <w:p w:rsidR="00000000" w:rsidDel="00000000" w:rsidP="00000000" w:rsidRDefault="00000000" w:rsidRPr="00000000" w14:paraId="00000116">
      <w:pPr>
        <w:pStyle w:val="Heading2"/>
        <w:rPr>
          <w:rFonts w:ascii="Arial" w:cs="Arial" w:eastAsia="Arial" w:hAnsi="Arial"/>
        </w:rPr>
      </w:pPr>
      <w:r w:rsidDel="00000000" w:rsidR="00000000" w:rsidRPr="00000000">
        <w:rPr>
          <w:rFonts w:ascii="Arial" w:cs="Arial" w:eastAsia="Arial" w:hAnsi="Arial"/>
          <w:rtl w:val="0"/>
        </w:rPr>
        <w:t xml:space="preserve">11. Impactos</w:t>
      </w:r>
    </w:p>
    <w:p w:rsidR="00000000" w:rsidDel="00000000" w:rsidP="00000000" w:rsidRDefault="00000000" w:rsidRPr="00000000" w14:paraId="00000117">
      <w:pPr>
        <w:pStyle w:val="Heading3"/>
        <w:rPr>
          <w:rFonts w:ascii="Arial" w:cs="Arial" w:eastAsia="Arial" w:hAnsi="Arial"/>
        </w:rPr>
      </w:pPr>
      <w:r w:rsidDel="00000000" w:rsidR="00000000" w:rsidRPr="00000000">
        <w:rPr>
          <w:rFonts w:ascii="Arial" w:cs="Arial" w:eastAsia="Arial" w:hAnsi="Arial"/>
          <w:rtl w:val="0"/>
        </w:rPr>
        <w:t xml:space="preserve">11.1 Impactos ambientales</w:t>
      </w:r>
    </w:p>
    <w:p w:rsidR="00000000" w:rsidDel="00000000" w:rsidP="00000000" w:rsidRDefault="00000000" w:rsidRPr="00000000" w14:paraId="00000118">
      <w:pPr>
        <w:numPr>
          <w:ilvl w:val="0"/>
          <w:numId w:val="11"/>
        </w:numPr>
        <w:spacing w:after="0" w:before="28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Reducción de residuos enviados al relleno</w:t>
      </w:r>
    </w:p>
    <w:p w:rsidR="00000000" w:rsidDel="00000000" w:rsidP="00000000" w:rsidRDefault="00000000" w:rsidRPr="00000000" w14:paraId="00000119">
      <w:pPr>
        <w:numPr>
          <w:ilvl w:val="0"/>
          <w:numId w:val="11"/>
        </w:numPr>
        <w:spacing w:after="0" w:before="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Reducción de GEI</w:t>
      </w:r>
    </w:p>
    <w:p w:rsidR="00000000" w:rsidDel="00000000" w:rsidP="00000000" w:rsidRDefault="00000000" w:rsidRPr="00000000" w14:paraId="0000011A">
      <w:pPr>
        <w:numPr>
          <w:ilvl w:val="0"/>
          <w:numId w:val="11"/>
        </w:numPr>
        <w:spacing w:after="280" w:before="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Sustitución de combustibles fósiles</w:t>
      </w:r>
    </w:p>
    <w:p w:rsidR="00000000" w:rsidDel="00000000" w:rsidP="00000000" w:rsidRDefault="00000000" w:rsidRPr="00000000" w14:paraId="0000011B">
      <w:pPr>
        <w:pStyle w:val="Heading3"/>
        <w:rPr>
          <w:rFonts w:ascii="Arial" w:cs="Arial" w:eastAsia="Arial" w:hAnsi="Arial"/>
        </w:rPr>
      </w:pPr>
      <w:r w:rsidDel="00000000" w:rsidR="00000000" w:rsidRPr="00000000">
        <w:rPr>
          <w:rFonts w:ascii="Arial" w:cs="Arial" w:eastAsia="Arial" w:hAnsi="Arial"/>
          <w:rtl w:val="0"/>
        </w:rPr>
        <w:t xml:space="preserve">11.2 Impactos sociales</w:t>
      </w:r>
    </w:p>
    <w:p w:rsidR="00000000" w:rsidDel="00000000" w:rsidP="00000000" w:rsidRDefault="00000000" w:rsidRPr="00000000" w14:paraId="0000011C">
      <w:pPr>
        <w:numPr>
          <w:ilvl w:val="0"/>
          <w:numId w:val="12"/>
        </w:numPr>
        <w:spacing w:after="0" w:before="28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Generación de empleo</w:t>
      </w:r>
    </w:p>
    <w:p w:rsidR="00000000" w:rsidDel="00000000" w:rsidP="00000000" w:rsidRDefault="00000000" w:rsidRPr="00000000" w14:paraId="0000011D">
      <w:pPr>
        <w:numPr>
          <w:ilvl w:val="0"/>
          <w:numId w:val="12"/>
        </w:numPr>
        <w:spacing w:after="0" w:before="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Fortalecimiento de recicladores y gestores</w:t>
      </w:r>
    </w:p>
    <w:p w:rsidR="00000000" w:rsidDel="00000000" w:rsidP="00000000" w:rsidRDefault="00000000" w:rsidRPr="00000000" w14:paraId="0000011E">
      <w:pPr>
        <w:numPr>
          <w:ilvl w:val="0"/>
          <w:numId w:val="12"/>
        </w:numPr>
        <w:spacing w:after="280" w:before="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Educación ambiental</w:t>
      </w:r>
    </w:p>
    <w:p w:rsidR="00000000" w:rsidDel="00000000" w:rsidP="00000000" w:rsidRDefault="00000000" w:rsidRPr="00000000" w14:paraId="0000011F">
      <w:pPr>
        <w:pStyle w:val="Heading3"/>
        <w:rPr>
          <w:rFonts w:ascii="Arial" w:cs="Arial" w:eastAsia="Arial" w:hAnsi="Arial"/>
        </w:rPr>
      </w:pPr>
      <w:r w:rsidDel="00000000" w:rsidR="00000000" w:rsidRPr="00000000">
        <w:rPr>
          <w:rFonts w:ascii="Arial" w:cs="Arial" w:eastAsia="Arial" w:hAnsi="Arial"/>
          <w:rtl w:val="0"/>
        </w:rPr>
        <w:t xml:space="preserve">11.3 Impactos económicos</w:t>
      </w:r>
    </w:p>
    <w:p w:rsidR="00000000" w:rsidDel="00000000" w:rsidP="00000000" w:rsidRDefault="00000000" w:rsidRPr="00000000" w14:paraId="00000120">
      <w:pPr>
        <w:numPr>
          <w:ilvl w:val="0"/>
          <w:numId w:val="13"/>
        </w:numPr>
        <w:spacing w:after="0" w:before="28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Ingresos por venta de energía</w:t>
      </w:r>
    </w:p>
    <w:p w:rsidR="00000000" w:rsidDel="00000000" w:rsidP="00000000" w:rsidRDefault="00000000" w:rsidRPr="00000000" w14:paraId="00000121">
      <w:pPr>
        <w:numPr>
          <w:ilvl w:val="0"/>
          <w:numId w:val="13"/>
        </w:numPr>
        <w:spacing w:after="0" w:before="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Ingresos por digestato</w:t>
      </w:r>
    </w:p>
    <w:p w:rsidR="00000000" w:rsidDel="00000000" w:rsidP="00000000" w:rsidRDefault="00000000" w:rsidRPr="00000000" w14:paraId="00000122">
      <w:pPr>
        <w:numPr>
          <w:ilvl w:val="0"/>
          <w:numId w:val="13"/>
        </w:numPr>
        <w:spacing w:after="280" w:before="0" w:lineRule="auto"/>
        <w:ind w:left="720" w:hanging="360"/>
        <w:rPr>
          <w:rFonts w:ascii="Arial" w:cs="Arial" w:eastAsia="Arial" w:hAnsi="Arial"/>
          <w:color w:val="000000"/>
        </w:rPr>
      </w:pPr>
      <w:r w:rsidDel="00000000" w:rsidR="00000000" w:rsidRPr="00000000">
        <w:rPr>
          <w:rFonts w:ascii="Arial" w:cs="Arial" w:eastAsia="Arial" w:hAnsi="Arial"/>
          <w:color w:val="000000"/>
          <w:rtl w:val="0"/>
        </w:rPr>
        <w:t xml:space="preserve">Ahorros operativos</w:t>
      </w:r>
    </w:p>
    <w:p w:rsidR="00000000" w:rsidDel="00000000" w:rsidP="00000000" w:rsidRDefault="00000000" w:rsidRPr="00000000" w14:paraId="00000123">
      <w:pPr>
        <w:pStyle w:val="Heading2"/>
        <w:rPr>
          <w:rFonts w:ascii="Arial" w:cs="Arial" w:eastAsia="Arial" w:hAnsi="Arial"/>
        </w:rPr>
      </w:pPr>
      <w:r w:rsidDel="00000000" w:rsidR="00000000" w:rsidRPr="00000000">
        <w:rPr>
          <w:rFonts w:ascii="Arial" w:cs="Arial" w:eastAsia="Arial" w:hAnsi="Arial"/>
          <w:rtl w:val="0"/>
        </w:rPr>
        <w:t xml:space="preserve">12. Análisis de Riesgos</w:t>
      </w:r>
    </w:p>
    <w:p w:rsidR="00000000" w:rsidDel="00000000" w:rsidP="00000000" w:rsidRDefault="00000000" w:rsidRPr="00000000" w14:paraId="00000124">
      <w:pPr>
        <w:pStyle w:val="Heading3"/>
        <w:rPr>
          <w:rFonts w:ascii="Arial" w:cs="Arial" w:eastAsia="Arial" w:hAnsi="Arial"/>
        </w:rPr>
      </w:pPr>
      <w:r w:rsidDel="00000000" w:rsidR="00000000" w:rsidRPr="00000000">
        <w:rPr>
          <w:rFonts w:ascii="Arial" w:cs="Arial" w:eastAsia="Arial" w:hAnsi="Arial"/>
          <w:rtl w:val="0"/>
        </w:rPr>
        <w:t xml:space="preserve">12.1 Riesgos técnicos</w:t>
      </w:r>
    </w:p>
    <w:p w:rsidR="00000000" w:rsidDel="00000000" w:rsidP="00000000" w:rsidRDefault="00000000" w:rsidRPr="00000000" w14:paraId="00000125">
      <w:pPr>
        <w:pStyle w:val="Heading3"/>
        <w:rPr>
          <w:rFonts w:ascii="Arial" w:cs="Arial" w:eastAsia="Arial" w:hAnsi="Arial"/>
        </w:rPr>
      </w:pPr>
      <w:r w:rsidDel="00000000" w:rsidR="00000000" w:rsidRPr="00000000">
        <w:rPr>
          <w:rFonts w:ascii="Arial" w:cs="Arial" w:eastAsia="Arial" w:hAnsi="Arial"/>
          <w:rtl w:val="0"/>
        </w:rPr>
        <w:t xml:space="preserve">12.2 Riesgos operativos - nico</w:t>
      </w:r>
    </w:p>
    <w:p w:rsidR="00000000" w:rsidDel="00000000" w:rsidP="00000000" w:rsidRDefault="00000000" w:rsidRPr="00000000" w14:paraId="00000126">
      <w:pPr>
        <w:pStyle w:val="Heading3"/>
        <w:rPr>
          <w:rFonts w:ascii="Arial" w:cs="Arial" w:eastAsia="Arial" w:hAnsi="Arial"/>
        </w:rPr>
      </w:pPr>
      <w:r w:rsidDel="00000000" w:rsidR="00000000" w:rsidRPr="00000000">
        <w:rPr>
          <w:rFonts w:ascii="Arial" w:cs="Arial" w:eastAsia="Arial" w:hAnsi="Arial"/>
          <w:rtl w:val="0"/>
        </w:rPr>
        <w:t xml:space="preserve">12.3 Riesgos ambientales</w:t>
      </w:r>
    </w:p>
    <w:p w:rsidR="00000000" w:rsidDel="00000000" w:rsidP="00000000" w:rsidRDefault="00000000" w:rsidRPr="00000000" w14:paraId="00000127">
      <w:pPr>
        <w:pStyle w:val="Heading3"/>
        <w:rPr>
          <w:rFonts w:ascii="Arial" w:cs="Arial" w:eastAsia="Arial" w:hAnsi="Arial"/>
        </w:rPr>
      </w:pPr>
      <w:r w:rsidDel="00000000" w:rsidR="00000000" w:rsidRPr="00000000">
        <w:rPr>
          <w:rFonts w:ascii="Arial" w:cs="Arial" w:eastAsia="Arial" w:hAnsi="Arial"/>
          <w:rtl w:val="0"/>
        </w:rPr>
        <w:t xml:space="preserve">12.4 Riesgos financieros</w:t>
      </w:r>
    </w:p>
    <w:p w:rsidR="00000000" w:rsidDel="00000000" w:rsidP="00000000" w:rsidRDefault="00000000" w:rsidRPr="00000000" w14:paraId="00000128">
      <w:pPr>
        <w:pStyle w:val="Heading3"/>
        <w:rPr>
          <w:rFonts w:ascii="Arial" w:cs="Arial" w:eastAsia="Arial" w:hAnsi="Arial"/>
        </w:rPr>
      </w:pPr>
      <w:r w:rsidDel="00000000" w:rsidR="00000000" w:rsidRPr="00000000">
        <w:rPr>
          <w:rFonts w:ascii="Arial" w:cs="Arial" w:eastAsia="Arial" w:hAnsi="Arial"/>
          <w:rtl w:val="0"/>
        </w:rPr>
        <w:t xml:space="preserve">12.5 Riesgos comerciales</w:t>
      </w:r>
    </w:p>
    <w:p w:rsidR="00000000" w:rsidDel="00000000" w:rsidP="00000000" w:rsidRDefault="00000000" w:rsidRPr="00000000" w14:paraId="00000129">
      <w:pPr>
        <w:pStyle w:val="Heading3"/>
        <w:rPr>
          <w:rFonts w:ascii="Arial" w:cs="Arial" w:eastAsia="Arial" w:hAnsi="Arial"/>
        </w:rPr>
      </w:pPr>
      <w:r w:rsidDel="00000000" w:rsidR="00000000" w:rsidRPr="00000000">
        <w:rPr>
          <w:rFonts w:ascii="Arial" w:cs="Arial" w:eastAsia="Arial" w:hAnsi="Arial"/>
          <w:rtl w:val="0"/>
        </w:rPr>
        <w:t xml:space="preserve">12.6 Plan de mitigación</w:t>
      </w:r>
    </w:p>
    <w:p w:rsidR="00000000" w:rsidDel="00000000" w:rsidP="00000000" w:rsidRDefault="00000000" w:rsidRPr="00000000" w14:paraId="0000012A">
      <w:pPr>
        <w:pStyle w:val="Heading2"/>
        <w:rPr>
          <w:rFonts w:ascii="Arial" w:cs="Arial" w:eastAsia="Arial" w:hAnsi="Arial"/>
        </w:rPr>
      </w:pPr>
      <w:r w:rsidDel="00000000" w:rsidR="00000000" w:rsidRPr="00000000">
        <w:rPr>
          <w:rFonts w:ascii="Arial" w:cs="Arial" w:eastAsia="Arial" w:hAnsi="Arial"/>
          <w:rtl w:val="0"/>
        </w:rPr>
        <w:t xml:space="preserve">13. Aspectos Jurídicos y Regulatorios - Nico</w:t>
      </w:r>
    </w:p>
    <w:p w:rsidR="00000000" w:rsidDel="00000000" w:rsidP="00000000" w:rsidRDefault="00000000" w:rsidRPr="00000000" w14:paraId="0000012B">
      <w:pPr>
        <w:pStyle w:val="Heading3"/>
        <w:rPr>
          <w:rFonts w:ascii="Arial" w:cs="Arial" w:eastAsia="Arial" w:hAnsi="Arial"/>
        </w:rPr>
      </w:pPr>
      <w:r w:rsidDel="00000000" w:rsidR="00000000" w:rsidRPr="00000000">
        <w:rPr>
          <w:rFonts w:ascii="Arial" w:cs="Arial" w:eastAsia="Arial" w:hAnsi="Arial"/>
          <w:rtl w:val="0"/>
        </w:rPr>
        <w:t xml:space="preserve">13.1 Permisos ambientales requeridos</w:t>
      </w:r>
    </w:p>
    <w:p w:rsidR="00000000" w:rsidDel="00000000" w:rsidP="00000000" w:rsidRDefault="00000000" w:rsidRPr="00000000" w14:paraId="0000012C">
      <w:pPr>
        <w:pStyle w:val="Heading3"/>
        <w:rPr>
          <w:rFonts w:ascii="Arial" w:cs="Arial" w:eastAsia="Arial" w:hAnsi="Arial"/>
        </w:rPr>
      </w:pPr>
      <w:r w:rsidDel="00000000" w:rsidR="00000000" w:rsidRPr="00000000">
        <w:rPr>
          <w:rFonts w:ascii="Arial" w:cs="Arial" w:eastAsia="Arial" w:hAnsi="Arial"/>
          <w:rtl w:val="0"/>
        </w:rPr>
        <w:t xml:space="preserve">13.2 Licencias y autorizaciones</w:t>
      </w:r>
    </w:p>
    <w:p w:rsidR="00000000" w:rsidDel="00000000" w:rsidP="00000000" w:rsidRDefault="00000000" w:rsidRPr="00000000" w14:paraId="0000012D">
      <w:pPr>
        <w:pStyle w:val="Heading3"/>
        <w:rPr>
          <w:rFonts w:ascii="Arial" w:cs="Arial" w:eastAsia="Arial" w:hAnsi="Arial"/>
        </w:rPr>
      </w:pPr>
      <w:r w:rsidDel="00000000" w:rsidR="00000000" w:rsidRPr="00000000">
        <w:rPr>
          <w:rFonts w:ascii="Arial" w:cs="Arial" w:eastAsia="Arial" w:hAnsi="Arial"/>
          <w:rtl w:val="0"/>
        </w:rPr>
        <w:t xml:space="preserve">13.3 Cumplimiento normativo</w:t>
      </w:r>
    </w:p>
    <w:p w:rsidR="00000000" w:rsidDel="00000000" w:rsidP="00000000" w:rsidRDefault="00000000" w:rsidRPr="00000000" w14:paraId="0000012E">
      <w:pPr>
        <w:pStyle w:val="Heading3"/>
        <w:rPr>
          <w:rFonts w:ascii="Arial" w:cs="Arial" w:eastAsia="Arial" w:hAnsi="Arial"/>
        </w:rPr>
      </w:pPr>
      <w:r w:rsidDel="00000000" w:rsidR="00000000" w:rsidRPr="00000000">
        <w:rPr>
          <w:rFonts w:ascii="Arial" w:cs="Arial" w:eastAsia="Arial" w:hAnsi="Arial"/>
          <w:rtl w:val="0"/>
        </w:rPr>
        <w:t xml:space="preserve">13.4 Gestión predial</w:t>
      </w:r>
    </w:p>
    <w:p w:rsidR="00000000" w:rsidDel="00000000" w:rsidP="00000000" w:rsidRDefault="00000000" w:rsidRPr="00000000" w14:paraId="0000012F">
      <w:pPr>
        <w:rPr>
          <w:rFonts w:ascii="Arial" w:cs="Arial" w:eastAsia="Arial" w:hAnsi="Arial"/>
        </w:rPr>
      </w:pPr>
      <w:r w:rsidDel="00000000" w:rsidR="00000000" w:rsidRPr="00000000">
        <w:rPr>
          <w:rtl w:val="0"/>
        </w:rPr>
      </w:r>
    </w:p>
    <w:p w:rsidR="00000000" w:rsidDel="00000000" w:rsidP="00000000" w:rsidRDefault="00000000" w:rsidRPr="00000000" w14:paraId="00000130">
      <w:pPr>
        <w:pStyle w:val="Heading2"/>
        <w:rPr>
          <w:rFonts w:ascii="Arial" w:cs="Arial" w:eastAsia="Arial" w:hAnsi="Arial"/>
        </w:rPr>
      </w:pPr>
      <w:r w:rsidDel="00000000" w:rsidR="00000000" w:rsidRPr="00000000">
        <w:rPr>
          <w:rFonts w:ascii="Arial" w:cs="Arial" w:eastAsia="Arial" w:hAnsi="Arial"/>
          <w:rtl w:val="0"/>
        </w:rPr>
        <w:t xml:space="preserve">14. Presupuesto del Proyecto - Nico</w:t>
      </w:r>
    </w:p>
    <w:p w:rsidR="00000000" w:rsidDel="00000000" w:rsidP="00000000" w:rsidRDefault="00000000" w:rsidRPr="00000000" w14:paraId="00000131">
      <w:pPr>
        <w:pStyle w:val="Heading3"/>
        <w:rPr>
          <w:rFonts w:ascii="Arial" w:cs="Arial" w:eastAsia="Arial" w:hAnsi="Arial"/>
        </w:rPr>
      </w:pPr>
      <w:r w:rsidDel="00000000" w:rsidR="00000000" w:rsidRPr="00000000">
        <w:rPr>
          <w:rFonts w:ascii="Arial" w:cs="Arial" w:eastAsia="Arial" w:hAnsi="Arial"/>
          <w:rtl w:val="0"/>
        </w:rPr>
        <w:t xml:space="preserve">14.1 CAPEX</w:t>
      </w:r>
    </w:p>
    <w:p w:rsidR="00000000" w:rsidDel="00000000" w:rsidP="00000000" w:rsidRDefault="00000000" w:rsidRPr="00000000" w14:paraId="00000132">
      <w:pPr>
        <w:pStyle w:val="Heading3"/>
        <w:rPr>
          <w:rFonts w:ascii="Arial" w:cs="Arial" w:eastAsia="Arial" w:hAnsi="Arial"/>
        </w:rPr>
      </w:pPr>
      <w:r w:rsidDel="00000000" w:rsidR="00000000" w:rsidRPr="00000000">
        <w:rPr>
          <w:rFonts w:ascii="Arial" w:cs="Arial" w:eastAsia="Arial" w:hAnsi="Arial"/>
          <w:rtl w:val="0"/>
        </w:rPr>
        <w:t xml:space="preserve">14.2 OPEX</w:t>
      </w:r>
    </w:p>
    <w:p w:rsidR="00000000" w:rsidDel="00000000" w:rsidP="00000000" w:rsidRDefault="00000000" w:rsidRPr="00000000" w14:paraId="00000133">
      <w:pPr>
        <w:pStyle w:val="Heading3"/>
        <w:rPr>
          <w:rFonts w:ascii="Arial" w:cs="Arial" w:eastAsia="Arial" w:hAnsi="Arial"/>
        </w:rPr>
      </w:pPr>
      <w:r w:rsidDel="00000000" w:rsidR="00000000" w:rsidRPr="00000000">
        <w:rPr>
          <w:rFonts w:ascii="Arial" w:cs="Arial" w:eastAsia="Arial" w:hAnsi="Arial"/>
          <w:rtl w:val="0"/>
        </w:rPr>
        <w:t xml:space="preserve">14.3 Costos de personal</w:t>
      </w:r>
    </w:p>
    <w:p w:rsidR="00000000" w:rsidDel="00000000" w:rsidP="00000000" w:rsidRDefault="00000000" w:rsidRPr="00000000" w14:paraId="00000134">
      <w:pPr>
        <w:pStyle w:val="Heading3"/>
        <w:rPr>
          <w:rFonts w:ascii="Arial" w:cs="Arial" w:eastAsia="Arial" w:hAnsi="Arial"/>
        </w:rPr>
      </w:pPr>
      <w:r w:rsidDel="00000000" w:rsidR="00000000" w:rsidRPr="00000000">
        <w:rPr>
          <w:rFonts w:ascii="Arial" w:cs="Arial" w:eastAsia="Arial" w:hAnsi="Arial"/>
          <w:rtl w:val="0"/>
        </w:rPr>
        <w:t xml:space="preserve">14.4 Costos de operación y mantenimiento</w:t>
      </w:r>
    </w:p>
    <w:p w:rsidR="00000000" w:rsidDel="00000000" w:rsidP="00000000" w:rsidRDefault="00000000" w:rsidRPr="00000000" w14:paraId="00000135">
      <w:pPr>
        <w:rPr/>
      </w:pPr>
      <w:r w:rsidDel="00000000" w:rsidR="00000000" w:rsidRPr="00000000">
        <w:rPr>
          <w:rtl w:val="0"/>
        </w:rPr>
      </w:r>
    </w:p>
    <w:p w:rsidR="00000000" w:rsidDel="00000000" w:rsidP="00000000" w:rsidRDefault="00000000" w:rsidRPr="00000000" w14:paraId="00000136">
      <w:pPr>
        <w:pStyle w:val="Heading2"/>
        <w:rPr/>
      </w:pPr>
      <w:r w:rsidDel="00000000" w:rsidR="00000000" w:rsidRPr="00000000">
        <w:rPr>
          <w:rtl w:val="0"/>
        </w:rPr>
        <w:t xml:space="preserve">15. Evaluación Financiera </w:t>
      </w:r>
    </w:p>
    <w:p w:rsidR="00000000" w:rsidDel="00000000" w:rsidP="00000000" w:rsidRDefault="00000000" w:rsidRPr="00000000" w14:paraId="00000137">
      <w:pPr>
        <w:pStyle w:val="Heading3"/>
        <w:rPr/>
      </w:pPr>
      <w:r w:rsidDel="00000000" w:rsidR="00000000" w:rsidRPr="00000000">
        <w:rPr>
          <w:rtl w:val="0"/>
        </w:rPr>
        <w:t xml:space="preserve">15.1 Flujo de caja</w:t>
      </w:r>
    </w:p>
    <w:p w:rsidR="00000000" w:rsidDel="00000000" w:rsidP="00000000" w:rsidRDefault="00000000" w:rsidRPr="00000000" w14:paraId="00000138">
      <w:pPr>
        <w:pStyle w:val="Heading3"/>
        <w:rPr/>
      </w:pPr>
      <w:r w:rsidDel="00000000" w:rsidR="00000000" w:rsidRPr="00000000">
        <w:rPr>
          <w:rtl w:val="0"/>
        </w:rPr>
        <w:t xml:space="preserve">15.2 Ingresos proyectados</w:t>
      </w:r>
    </w:p>
    <w:p w:rsidR="00000000" w:rsidDel="00000000" w:rsidP="00000000" w:rsidRDefault="00000000" w:rsidRPr="00000000" w14:paraId="00000139">
      <w:pPr>
        <w:pStyle w:val="Heading3"/>
        <w:rPr/>
      </w:pPr>
      <w:r w:rsidDel="00000000" w:rsidR="00000000" w:rsidRPr="00000000">
        <w:rPr>
          <w:rtl w:val="0"/>
        </w:rPr>
        <w:t xml:space="preserve">15.3 VAN</w:t>
      </w:r>
    </w:p>
    <w:p w:rsidR="00000000" w:rsidDel="00000000" w:rsidP="00000000" w:rsidRDefault="00000000" w:rsidRPr="00000000" w14:paraId="0000013A">
      <w:pPr>
        <w:pStyle w:val="Heading3"/>
        <w:rPr/>
      </w:pPr>
      <w:r w:rsidDel="00000000" w:rsidR="00000000" w:rsidRPr="00000000">
        <w:rPr>
          <w:rtl w:val="0"/>
        </w:rPr>
        <w:t xml:space="preserve">15.4 TIR</w:t>
      </w:r>
    </w:p>
    <w:p w:rsidR="00000000" w:rsidDel="00000000" w:rsidP="00000000" w:rsidRDefault="00000000" w:rsidRPr="00000000" w14:paraId="0000013B">
      <w:pPr>
        <w:pStyle w:val="Heading3"/>
        <w:rPr/>
      </w:pPr>
      <w:r w:rsidDel="00000000" w:rsidR="00000000" w:rsidRPr="00000000">
        <w:rPr>
          <w:rtl w:val="0"/>
        </w:rPr>
        <w:t xml:space="preserve">15.5 Periodo de recuperación</w:t>
      </w:r>
    </w:p>
    <w:p w:rsidR="00000000" w:rsidDel="00000000" w:rsidP="00000000" w:rsidRDefault="00000000" w:rsidRPr="00000000" w14:paraId="0000013C">
      <w:pPr>
        <w:rPr/>
      </w:pPr>
      <w:r w:rsidDel="00000000" w:rsidR="00000000" w:rsidRPr="00000000">
        <w:rPr>
          <w:rtl w:val="0"/>
        </w:rPr>
      </w:r>
    </w:p>
    <w:p w:rsidR="00000000" w:rsidDel="00000000" w:rsidP="00000000" w:rsidRDefault="00000000" w:rsidRPr="00000000" w14:paraId="0000013D">
      <w:pPr>
        <w:pStyle w:val="Heading2"/>
        <w:rPr/>
      </w:pPr>
      <w:r w:rsidDel="00000000" w:rsidR="00000000" w:rsidRPr="00000000">
        <w:rPr>
          <w:rtl w:val="0"/>
        </w:rPr>
        <w:t xml:space="preserve">16. Monitoreo y Seguimiento</w:t>
      </w:r>
    </w:p>
    <w:p w:rsidR="00000000" w:rsidDel="00000000" w:rsidP="00000000" w:rsidRDefault="00000000" w:rsidRPr="00000000" w14:paraId="0000013E">
      <w:pPr>
        <w:pStyle w:val="Heading3"/>
        <w:rPr/>
      </w:pPr>
      <w:r w:rsidDel="00000000" w:rsidR="00000000" w:rsidRPr="00000000">
        <w:rPr>
          <w:rtl w:val="0"/>
        </w:rPr>
        <w:t xml:space="preserve">16.1 Indicadores de gestión</w:t>
      </w:r>
    </w:p>
    <w:p w:rsidR="00000000" w:rsidDel="00000000" w:rsidP="00000000" w:rsidRDefault="00000000" w:rsidRPr="00000000" w14:paraId="0000013F">
      <w:pPr>
        <w:pStyle w:val="Heading3"/>
        <w:rPr/>
      </w:pPr>
      <w:r w:rsidDel="00000000" w:rsidR="00000000" w:rsidRPr="00000000">
        <w:rPr>
          <w:rtl w:val="0"/>
        </w:rPr>
        <w:t xml:space="preserve">16.2 Indicadores de producto</w:t>
      </w:r>
    </w:p>
    <w:p w:rsidR="00000000" w:rsidDel="00000000" w:rsidP="00000000" w:rsidRDefault="00000000" w:rsidRPr="00000000" w14:paraId="00000140">
      <w:pPr>
        <w:pStyle w:val="Heading3"/>
        <w:rPr/>
      </w:pPr>
      <w:r w:rsidDel="00000000" w:rsidR="00000000" w:rsidRPr="00000000">
        <w:rPr>
          <w:rtl w:val="0"/>
        </w:rPr>
        <w:t xml:space="preserve">16.3 Indicadores de resultado</w:t>
      </w:r>
    </w:p>
    <w:p w:rsidR="00000000" w:rsidDel="00000000" w:rsidP="00000000" w:rsidRDefault="00000000" w:rsidRPr="00000000" w14:paraId="00000141">
      <w:pPr>
        <w:pStyle w:val="Heading3"/>
        <w:rPr/>
      </w:pPr>
      <w:r w:rsidDel="00000000" w:rsidR="00000000" w:rsidRPr="00000000">
        <w:rPr>
          <w:rtl w:val="0"/>
        </w:rPr>
        <w:t xml:space="preserve">16.4 Indicadores de impacto</w:t>
      </w:r>
    </w:p>
    <w:p w:rsidR="00000000" w:rsidDel="00000000" w:rsidP="00000000" w:rsidRDefault="00000000" w:rsidRPr="00000000" w14:paraId="00000142">
      <w:pPr>
        <w:pStyle w:val="Heading3"/>
        <w:rPr/>
      </w:pPr>
      <w:r w:rsidDel="00000000" w:rsidR="00000000" w:rsidRPr="00000000">
        <w:rPr>
          <w:rtl w:val="0"/>
        </w:rPr>
        <w:t xml:space="preserve">16.5 Sistema de reporte</w:t>
      </w:r>
    </w:p>
    <w:p w:rsidR="00000000" w:rsidDel="00000000" w:rsidP="00000000" w:rsidRDefault="00000000" w:rsidRPr="00000000" w14:paraId="00000143">
      <w:pPr>
        <w:rPr/>
      </w:pPr>
      <w:r w:rsidDel="00000000" w:rsidR="00000000" w:rsidRPr="00000000">
        <w:rPr>
          <w:rtl w:val="0"/>
        </w:rPr>
      </w:r>
    </w:p>
    <w:p w:rsidR="00000000" w:rsidDel="00000000" w:rsidP="00000000" w:rsidRDefault="00000000" w:rsidRPr="00000000" w14:paraId="00000144">
      <w:pPr>
        <w:pStyle w:val="Heading2"/>
        <w:rPr/>
      </w:pPr>
      <w:r w:rsidDel="00000000" w:rsidR="00000000" w:rsidRPr="00000000">
        <w:rPr>
          <w:rtl w:val="0"/>
        </w:rPr>
        <w:t xml:space="preserve">17. Estrategia de Sostenibilidad</w:t>
      </w:r>
    </w:p>
    <w:p w:rsidR="00000000" w:rsidDel="00000000" w:rsidP="00000000" w:rsidRDefault="00000000" w:rsidRPr="00000000" w14:paraId="00000145">
      <w:pPr>
        <w:rPr/>
      </w:pPr>
      <w:r w:rsidDel="00000000" w:rsidR="00000000" w:rsidRPr="00000000">
        <w:rPr>
          <w:rtl w:val="0"/>
        </w:rPr>
      </w:r>
    </w:p>
    <w:p w:rsidR="00000000" w:rsidDel="00000000" w:rsidP="00000000" w:rsidRDefault="00000000" w:rsidRPr="00000000" w14:paraId="00000146">
      <w:pPr>
        <w:rPr/>
      </w:pPr>
      <w:r w:rsidDel="00000000" w:rsidR="00000000" w:rsidRPr="00000000">
        <w:rPr>
          <w:rtl w:val="0"/>
        </w:rPr>
      </w:r>
    </w:p>
    <w:p w:rsidR="00000000" w:rsidDel="00000000" w:rsidP="00000000" w:rsidRDefault="00000000" w:rsidRPr="00000000" w14:paraId="00000147">
      <w:pPr>
        <w:rPr/>
      </w:pPr>
      <w:r w:rsidDel="00000000" w:rsidR="00000000" w:rsidRPr="00000000">
        <w:rPr>
          <w:rtl w:val="0"/>
        </w:rPr>
      </w:r>
    </w:p>
    <w:p w:rsidR="00000000" w:rsidDel="00000000" w:rsidP="00000000" w:rsidRDefault="00000000" w:rsidRPr="00000000" w14:paraId="00000148">
      <w:pPr>
        <w:rPr/>
      </w:pPr>
      <w:r w:rsidDel="00000000" w:rsidR="00000000" w:rsidRPr="00000000">
        <w:rPr>
          <w:rtl w:val="0"/>
        </w:rPr>
      </w:r>
    </w:p>
    <w:p w:rsidR="00000000" w:rsidDel="00000000" w:rsidP="00000000" w:rsidRDefault="00000000" w:rsidRPr="00000000" w14:paraId="000001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IPCC. (2014). </w:t>
      </w:r>
      <w:r w:rsidDel="00000000" w:rsidR="00000000" w:rsidRPr="00000000">
        <w:rPr>
          <w:rFonts w:ascii="Times New Roman" w:cs="Times New Roman" w:eastAsia="Times New Roman" w:hAnsi="Times New Roman"/>
          <w:b w:val="0"/>
          <w:bCs w:val="0"/>
          <w:i w:val="1"/>
          <w:iCs w:val="1"/>
          <w:smallCaps w:val="0"/>
          <w:strike w:val="0"/>
          <w:color w:val="000000"/>
          <w:sz w:val="24"/>
          <w:szCs w:val="24"/>
          <w:u w:val="none"/>
          <w:shd w:fill="auto" w:val="clear"/>
          <w:vertAlign w:val="baseline"/>
          <w:rtl w:val="0"/>
        </w:rPr>
        <w:t xml:space="preserve">Climate Change 2014: Synthesis Report</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Intergovernmental Panel on Climate Change.</w:t>
      </w:r>
    </w:p>
    <w:p w:rsidR="00000000" w:rsidDel="00000000" w:rsidP="00000000" w:rsidRDefault="00000000" w:rsidRPr="00000000" w14:paraId="000001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IPCC. (2021). </w:t>
      </w:r>
      <w:r w:rsidDel="00000000" w:rsidR="00000000" w:rsidRPr="00000000">
        <w:rPr>
          <w:rFonts w:ascii="Times New Roman" w:cs="Times New Roman" w:eastAsia="Times New Roman" w:hAnsi="Times New Roman"/>
          <w:b w:val="0"/>
          <w:bCs w:val="0"/>
          <w:i w:val="1"/>
          <w:iCs w:val="1"/>
          <w:smallCaps w:val="0"/>
          <w:strike w:val="0"/>
          <w:color w:val="000000"/>
          <w:sz w:val="24"/>
          <w:szCs w:val="24"/>
          <w:u w:val="none"/>
          <w:shd w:fill="auto" w:val="clear"/>
          <w:vertAlign w:val="baseline"/>
          <w:rtl w:val="0"/>
        </w:rPr>
        <w:t xml:space="preserve">Climate Change 2021: The Physical Science Basis</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Cambridge University Press.</w:t>
      </w:r>
    </w:p>
    <w:p w:rsidR="00000000" w:rsidDel="00000000" w:rsidP="00000000" w:rsidRDefault="00000000" w:rsidRPr="00000000" w14:paraId="000001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Kaza, S., Yao, L., Bhada-Tata, P., &amp; Van Woerden, F. (2018). </w:t>
      </w:r>
      <w:r w:rsidDel="00000000" w:rsidR="00000000" w:rsidRPr="00000000">
        <w:rPr>
          <w:rFonts w:ascii="Times New Roman" w:cs="Times New Roman" w:eastAsia="Times New Roman" w:hAnsi="Times New Roman"/>
          <w:b w:val="0"/>
          <w:bCs w:val="0"/>
          <w:i w:val="1"/>
          <w:iCs w:val="1"/>
          <w:smallCaps w:val="0"/>
          <w:strike w:val="0"/>
          <w:color w:val="000000"/>
          <w:sz w:val="24"/>
          <w:szCs w:val="24"/>
          <w:u w:val="none"/>
          <w:shd w:fill="auto" w:val="clear"/>
          <w:vertAlign w:val="baseline"/>
          <w:rtl w:val="0"/>
        </w:rPr>
        <w:t xml:space="preserve">What a Waste 2.0: A Global Snapshot of Solid Waste Management to 2050</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World Bank.</w:t>
      </w:r>
    </w:p>
    <w:p w:rsidR="00000000" w:rsidDel="00000000" w:rsidP="00000000" w:rsidRDefault="00000000" w:rsidRPr="00000000" w14:paraId="000001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Liyanage, N., &amp; Pieris, M. (2015). </w:t>
      </w:r>
      <w:r w:rsidDel="00000000" w:rsidR="00000000" w:rsidRPr="00000000">
        <w:rPr>
          <w:rFonts w:ascii="Times New Roman" w:cs="Times New Roman" w:eastAsia="Times New Roman" w:hAnsi="Times New Roman"/>
          <w:b w:val="0"/>
          <w:bCs w:val="0"/>
          <w:i w:val="1"/>
          <w:iCs w:val="1"/>
          <w:smallCaps w:val="0"/>
          <w:strike w:val="0"/>
          <w:color w:val="000000"/>
          <w:sz w:val="24"/>
          <w:szCs w:val="24"/>
          <w:u w:val="none"/>
          <w:shd w:fill="auto" w:val="clear"/>
          <w:vertAlign w:val="baseline"/>
          <w:rtl w:val="0"/>
        </w:rPr>
        <w:t xml:space="preserve">A Physico-Chemical Analysis of Different Organic Wastes for Biogas Production</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1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Unidad Administrativa Especial de Servicios Públicos (UAESP). (2018). </w:t>
      </w:r>
      <w:r w:rsidDel="00000000" w:rsidR="00000000" w:rsidRPr="00000000">
        <w:rPr>
          <w:rFonts w:ascii="Times New Roman" w:cs="Times New Roman" w:eastAsia="Times New Roman" w:hAnsi="Times New Roman"/>
          <w:b w:val="0"/>
          <w:bCs w:val="0"/>
          <w:i w:val="1"/>
          <w:iCs w:val="1"/>
          <w:smallCaps w:val="0"/>
          <w:strike w:val="0"/>
          <w:color w:val="000000"/>
          <w:sz w:val="24"/>
          <w:szCs w:val="24"/>
          <w:u w:val="none"/>
          <w:shd w:fill="auto" w:val="clear"/>
          <w:vertAlign w:val="baseline"/>
          <w:rtl w:val="0"/>
        </w:rPr>
        <w:t xml:space="preserve">Diagnóstico de residuos sólidos y aprovechamiento de residuos orgánicos en Bogotá D.C.</w:t>
      </w:r>
      <w:r w:rsidDel="00000000" w:rsidR="00000000" w:rsidRPr="00000000">
        <w:rPr>
          <w:rtl w:val="0"/>
        </w:rPr>
      </w:r>
    </w:p>
    <w:p w:rsidR="00000000" w:rsidDel="00000000" w:rsidP="00000000" w:rsidRDefault="00000000" w:rsidRPr="00000000" w14:paraId="000001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Unidad Administrativa Especial de Servicios Públicos (UAESP). (2022). </w:t>
      </w:r>
      <w:r w:rsidDel="00000000" w:rsidR="00000000" w:rsidRPr="00000000">
        <w:rPr>
          <w:rFonts w:ascii="Times New Roman" w:cs="Times New Roman" w:eastAsia="Times New Roman" w:hAnsi="Times New Roman"/>
          <w:b w:val="0"/>
          <w:bCs w:val="0"/>
          <w:i w:val="1"/>
          <w:iCs w:val="1"/>
          <w:smallCaps w:val="0"/>
          <w:strike w:val="0"/>
          <w:color w:val="000000"/>
          <w:sz w:val="24"/>
          <w:szCs w:val="24"/>
          <w:u w:val="none"/>
          <w:shd w:fill="auto" w:val="clear"/>
          <w:vertAlign w:val="baseline"/>
          <w:rtl w:val="0"/>
        </w:rPr>
        <w:t xml:space="preserve">Estudio de mercado de residuos orgánicos municipales de Bogotá D.C.</w:t>
      </w:r>
      <w:r w:rsidDel="00000000" w:rsidR="00000000" w:rsidRPr="00000000">
        <w:rPr>
          <w:rtl w:val="0"/>
        </w:rPr>
      </w:r>
    </w:p>
    <w:p w:rsidR="00000000" w:rsidDel="00000000" w:rsidP="00000000" w:rsidRDefault="00000000" w:rsidRPr="00000000" w14:paraId="000001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IEA Bioenergy. (2020). </w:t>
      </w:r>
      <w:r w:rsidDel="00000000" w:rsidR="00000000" w:rsidRPr="00000000">
        <w:rPr>
          <w:rFonts w:ascii="Times New Roman" w:cs="Times New Roman" w:eastAsia="Times New Roman" w:hAnsi="Times New Roman"/>
          <w:b w:val="0"/>
          <w:bCs w:val="0"/>
          <w:i w:val="1"/>
          <w:iCs w:val="1"/>
          <w:smallCaps w:val="0"/>
          <w:strike w:val="0"/>
          <w:color w:val="000000"/>
          <w:sz w:val="24"/>
          <w:szCs w:val="24"/>
          <w:u w:val="none"/>
          <w:shd w:fill="auto" w:val="clear"/>
          <w:vertAlign w:val="baseline"/>
          <w:rtl w:val="0"/>
        </w:rPr>
        <w:t xml:space="preserve">Biogas and Biomethane in the Circular Economy</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International Energy Agency Bioenergy.</w:t>
      </w:r>
    </w:p>
    <w:p w:rsidR="00000000" w:rsidDel="00000000" w:rsidP="00000000" w:rsidRDefault="00000000" w:rsidRPr="00000000" w14:paraId="00000151">
      <w:pPr>
        <w:rPr/>
      </w:pPr>
      <w:r w:rsidDel="00000000" w:rsidR="00000000" w:rsidRPr="00000000">
        <w:rPr>
          <w:rtl w:val="0"/>
        </w:rPr>
      </w:r>
    </w:p>
    <w:sectPr>
      <w:pgSz w:h="16838" w:w="11906"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Courier New"/>
  <w:font w:name="Aptos"/>
  <w:font w:name="Play">
    <w:embedRegular w:fontKey="{00000000-0000-0000-0000-000000000000}" r:id="rId1" w:subsetted="0"/>
    <w:embedBold w:fontKey="{00000000-0000-0000-0000-000000000000}" r:id="rId2" w:subsetted="0"/>
  </w:font>
  <w:font w:name="Noto Sans Symbols">
    <w:embedRegular w:fontKey="{00000000-0000-0000-0000-000000000000}" r:id="rId3" w:subsetted="0"/>
    <w:embedBold w:fontKey="{00000000-0000-0000-0000-000000000000}" r:id="rId4" w:subsetted="0"/>
  </w:font>
  <w:font w:name="Cambria Math">
    <w:embedRegular w:fontKey="{00000000-0000-0000-0000-000000000000}" r:id="rId5"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b w:val="0"/>
        <w:bCs w:val="0"/>
        <w:i w:val="0"/>
        <w:iCs w:val="0"/>
        <w:smallCaps w:val="0"/>
        <w:strike w:val="0"/>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b w:val="0"/>
        <w:bCs w:val="0"/>
        <w:i w:val="0"/>
        <w:iCs w:val="0"/>
        <w:smallCaps w:val="0"/>
        <w:strike w:val="0"/>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b w:val="0"/>
        <w:bCs w:val="0"/>
        <w:i w:val="0"/>
        <w:iCs w:val="0"/>
        <w:smallCaps w:val="0"/>
        <w:strike w:val="0"/>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b w:val="0"/>
        <w:bCs w:val="0"/>
        <w:i w:val="0"/>
        <w:iCs w:val="0"/>
        <w:smallCaps w:val="0"/>
        <w:strike w:val="0"/>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ptos" w:cs="Aptos" w:eastAsia="Aptos" w:hAnsi="Aptos"/>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80" w:before="360" w:lineRule="auto"/>
    </w:pPr>
    <w:rPr>
      <w:rFonts w:ascii="Play" w:cs="Play" w:eastAsia="Play" w:hAnsi="Play"/>
      <w:color w:val="0f4761"/>
      <w:sz w:val="40"/>
      <w:szCs w:val="40"/>
    </w:rPr>
  </w:style>
  <w:style w:type="paragraph" w:styleId="Heading2">
    <w:name w:val="heading 2"/>
    <w:basedOn w:val="Normal"/>
    <w:next w:val="Normal"/>
    <w:pPr>
      <w:keepNext w:val="1"/>
      <w:keepLines w:val="1"/>
      <w:spacing w:after="80" w:before="160" w:lineRule="auto"/>
    </w:pPr>
    <w:rPr>
      <w:rFonts w:ascii="Play" w:cs="Play" w:eastAsia="Play" w:hAnsi="Play"/>
      <w:color w:val="0f4761"/>
      <w:sz w:val="32"/>
      <w:szCs w:val="32"/>
    </w:rPr>
  </w:style>
  <w:style w:type="paragraph" w:styleId="Heading3">
    <w:name w:val="heading 3"/>
    <w:basedOn w:val="Normal"/>
    <w:next w:val="Normal"/>
    <w:pPr>
      <w:keepNext w:val="1"/>
      <w:keepLines w:val="1"/>
      <w:spacing w:after="80" w:before="160" w:lineRule="auto"/>
    </w:pPr>
    <w:rPr>
      <w:color w:val="0f4761"/>
      <w:sz w:val="28"/>
      <w:szCs w:val="28"/>
    </w:rPr>
  </w:style>
  <w:style w:type="paragraph" w:styleId="Heading4">
    <w:name w:val="heading 4"/>
    <w:basedOn w:val="Normal"/>
    <w:next w:val="Normal"/>
    <w:pPr>
      <w:keepNext w:val="1"/>
      <w:keepLines w:val="1"/>
      <w:spacing w:after="40" w:before="80" w:lineRule="auto"/>
    </w:pPr>
    <w:rPr>
      <w:i w:val="1"/>
      <w:iCs w:val="1"/>
      <w:color w:val="0f4761"/>
    </w:rPr>
  </w:style>
  <w:style w:type="paragraph" w:styleId="Heading5">
    <w:name w:val="heading 5"/>
    <w:basedOn w:val="Normal"/>
    <w:next w:val="Normal"/>
    <w:pPr>
      <w:keepNext w:val="1"/>
      <w:keepLines w:val="1"/>
      <w:spacing w:after="40" w:before="80" w:lineRule="auto"/>
    </w:pPr>
    <w:rPr>
      <w:color w:val="0f4761"/>
    </w:rPr>
  </w:style>
  <w:style w:type="paragraph" w:styleId="Heading6">
    <w:name w:val="heading 6"/>
    <w:basedOn w:val="Normal"/>
    <w:next w:val="Normal"/>
    <w:pPr>
      <w:keepNext w:val="1"/>
      <w:keepLines w:val="1"/>
      <w:spacing w:before="40" w:lineRule="auto"/>
    </w:pPr>
    <w:rPr>
      <w:i w:val="1"/>
      <w:iCs w:val="1"/>
      <w:color w:val="595959"/>
    </w:rPr>
  </w:style>
  <w:style w:type="paragraph" w:styleId="Title">
    <w:name w:val="Title"/>
    <w:basedOn w:val="Normal"/>
    <w:next w:val="Normal"/>
    <w:pPr>
      <w:spacing w:after="80" w:lineRule="auto"/>
    </w:pPr>
    <w:rPr>
      <w:rFonts w:ascii="Play" w:cs="Play" w:eastAsia="Play" w:hAnsi="Play"/>
      <w:sz w:val="56"/>
      <w:szCs w:val="56"/>
    </w:rPr>
  </w:style>
  <w:style w:type="paragraph" w:styleId="Subtitle">
    <w:name w:val="Subtitle"/>
    <w:basedOn w:val="Normal"/>
    <w:next w:val="Normal"/>
    <w:pPr>
      <w:spacing w:after="160" w:lineRule="auto"/>
    </w:pPr>
    <w:rPr>
      <w:color w:val="595959"/>
      <w:sz w:val="28"/>
      <w:szCs w:val="2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Play-regular.ttf"/><Relationship Id="rId2" Type="http://schemas.openxmlformats.org/officeDocument/2006/relationships/font" Target="fonts/Play-bold.ttf"/><Relationship Id="rId3" Type="http://schemas.openxmlformats.org/officeDocument/2006/relationships/font" Target="fonts/NotoSansSymbols-regular.ttf"/><Relationship Id="rId4" Type="http://schemas.openxmlformats.org/officeDocument/2006/relationships/font" Target="fonts/NotoSansSymbols-bold.ttf"/><Relationship Id="rId5" Type="http://schemas.openxmlformats.org/officeDocument/2006/relationships/font" Target="fonts/CambriaMath-regular.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nCapT4rrWNhFJ06DF+Kv1kbufw==">CgMxLjAyDmguNmRvYncwNHNlb210Mg5oLm1sMTFmbDY1YTI0cjIOaC55dXUyZWc2a3ljaWoyDmguaDZiNHEyYmFyNXBzMg5oLnA2cHcxOXhpM2xnNzIOaC5zeTYxaTFkN2N1YnkyDmguZm82czB2b3BtdTh5Mg5oLmNjb285NzJ6OG5zZjIOaC52ZW9laGJ5cXkza3U4AHIhMW4yWm1qUWVtak90OVVzeWFUSGo4eFBwZzZmMHB4UTdz</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